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C579C" w14:textId="77447EA7" w:rsidR="00672881" w:rsidRDefault="005E4150" w:rsidP="005E4150">
      <w:pPr>
        <w:rPr>
          <w:rFonts w:ascii="Verdana" w:hAnsi="Verdana"/>
          <w:b/>
          <w:bCs/>
          <w:color w:val="000000"/>
          <w:shd w:val="clear" w:color="auto" w:fill="FFFFFF"/>
        </w:rPr>
      </w:pPr>
      <w:r>
        <w:rPr>
          <w:rFonts w:ascii="Verdana" w:hAnsi="Verdana"/>
          <w:b/>
          <w:bCs/>
          <w:color w:val="000000"/>
          <w:shd w:val="clear" w:color="auto" w:fill="FFFFFF"/>
        </w:rPr>
        <w:t xml:space="preserve">Лоза Світлана Петрівна. Комплексне оцінювання рівня інвестиційної привабливості залізниць України : Дис... канд. наук: 08.00.03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E4150" w:rsidRPr="005E4150" w14:paraId="6B973DDD" w14:textId="77777777" w:rsidTr="005E415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E4150" w:rsidRPr="005E4150" w14:paraId="28C35879" w14:textId="77777777">
              <w:trPr>
                <w:tblCellSpacing w:w="0" w:type="dxa"/>
              </w:trPr>
              <w:tc>
                <w:tcPr>
                  <w:tcW w:w="0" w:type="auto"/>
                  <w:vAlign w:val="center"/>
                  <w:hideMark/>
                </w:tcPr>
                <w:p w14:paraId="35624382" w14:textId="77777777" w:rsidR="005E4150" w:rsidRPr="005E4150" w:rsidRDefault="005E4150" w:rsidP="005E41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4150">
                    <w:rPr>
                      <w:rFonts w:ascii="Times New Roman" w:eastAsia="Times New Roman" w:hAnsi="Times New Roman" w:cs="Times New Roman"/>
                      <w:b/>
                      <w:bCs/>
                      <w:sz w:val="24"/>
                      <w:szCs w:val="24"/>
                    </w:rPr>
                    <w:lastRenderedPageBreak/>
                    <w:t>Лоза С.П. Комплексне оцінювання рівня інвестиційної привабливості залізниць України. – Рукопис.</w:t>
                  </w:r>
                </w:p>
                <w:p w14:paraId="15C4A879" w14:textId="77777777" w:rsidR="005E4150" w:rsidRPr="005E4150" w:rsidRDefault="005E4150" w:rsidP="005E41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4150">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08.00.03 – економіка та управління національним господарством. – Українська державна академія залізничного транспорту, Харків, 2007.</w:t>
                  </w:r>
                </w:p>
                <w:p w14:paraId="347FE00E" w14:textId="77777777" w:rsidR="005E4150" w:rsidRPr="005E4150" w:rsidRDefault="005E4150" w:rsidP="005E41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4150">
                    <w:rPr>
                      <w:rFonts w:ascii="Times New Roman" w:eastAsia="Times New Roman" w:hAnsi="Times New Roman" w:cs="Times New Roman"/>
                      <w:sz w:val="24"/>
                      <w:szCs w:val="24"/>
                    </w:rPr>
                    <w:t>Дисертаційна робота присвячена теоретичному обґрунтуванню та розробці методичних підходів до комплексного оцінювання рівня інвестиційної привабливості залізниць України. Доведено, що інвестиційна привабливість залізниць формується під впливом чинників внутрішнього і зовнішнього середовища. Обґрунтовано доцільність залучення інвестицій у залізничні інвестиційні проекти з різних джерел фінансування у залежності від значимості проекту для держави, реґіону, міста або залізниці, сфери реалізації і розміру проекту, терміну окупності витрат, а також структури ефектів від реалізації проекту. Удосконалено механізм розподілу інвестицій між окремими об’єктами залізничного транспорту. Розроблено теоретичні положення і методичні підходи та проведено комплексне оцінювання рівня інвестиційної привабливості залізниць України. Побудована економіко-математична модель залежності інвестиційної привабливості залізниць України від основних показників їхньої діяльності.</w:t>
                  </w:r>
                </w:p>
              </w:tc>
            </w:tr>
          </w:tbl>
          <w:p w14:paraId="6925D632" w14:textId="77777777" w:rsidR="005E4150" w:rsidRPr="005E4150" w:rsidRDefault="005E4150" w:rsidP="005E4150">
            <w:pPr>
              <w:spacing w:after="0" w:line="240" w:lineRule="auto"/>
              <w:rPr>
                <w:rFonts w:ascii="Times New Roman" w:eastAsia="Times New Roman" w:hAnsi="Times New Roman" w:cs="Times New Roman"/>
                <w:sz w:val="24"/>
                <w:szCs w:val="24"/>
              </w:rPr>
            </w:pPr>
          </w:p>
        </w:tc>
      </w:tr>
      <w:tr w:rsidR="005E4150" w:rsidRPr="005E4150" w14:paraId="3130305C" w14:textId="77777777" w:rsidTr="005E415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E4150" w:rsidRPr="005E4150" w14:paraId="37F4A5FE" w14:textId="77777777">
              <w:trPr>
                <w:tblCellSpacing w:w="0" w:type="dxa"/>
              </w:trPr>
              <w:tc>
                <w:tcPr>
                  <w:tcW w:w="0" w:type="auto"/>
                  <w:vAlign w:val="center"/>
                  <w:hideMark/>
                </w:tcPr>
                <w:p w14:paraId="242D313C" w14:textId="77777777" w:rsidR="005E4150" w:rsidRPr="005E4150" w:rsidRDefault="005E4150" w:rsidP="005E41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4150">
                    <w:rPr>
                      <w:rFonts w:ascii="Times New Roman" w:eastAsia="Times New Roman" w:hAnsi="Times New Roman" w:cs="Times New Roman"/>
                      <w:sz w:val="24"/>
                      <w:szCs w:val="24"/>
                    </w:rPr>
                    <w:t>Результати дисертації у сукупності покликані вирішити наукове завдання щодо теоретичного обґрунтування та розробки методичних підходів до комплексного оцінювання рівня інвестиційної привабливості залізниць України. Узагальнення отриманих результатів дослідження дало змогу сформулювати наступні висновки і рекомендації:</w:t>
                  </w:r>
                </w:p>
                <w:p w14:paraId="74C69EA4" w14:textId="77777777" w:rsidR="005E4150" w:rsidRPr="005E4150" w:rsidRDefault="005E4150" w:rsidP="005E4150">
                  <w:pPr>
                    <w:framePr w:hSpace="45" w:wrap="around" w:vAnchor="text" w:hAnchor="text" w:xAlign="right" w:yAlign="cente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5E4150">
                    <w:rPr>
                      <w:rFonts w:ascii="Times New Roman" w:eastAsia="Times New Roman" w:hAnsi="Times New Roman" w:cs="Times New Roman"/>
                      <w:sz w:val="24"/>
                      <w:szCs w:val="24"/>
                    </w:rPr>
                    <w:t>У результаті проведеного дослідження з’ясовано, що інвестиційна привабливість залізниць України формується під впливом чинників внутрішнього і зовнішнього середовища. Залізничний транспорт є «відкритою» системою, розвиток якої суттєво залежить від зовнішнього середовища. Саме тому, при оцінюванні рівня інвестиційної привабливості залізниць необхідне врахування інвестиційної привабливості країни, територій тяжіння залізниць, виду економічної діяльності, залізничного транспорту в межах транспортно-дорожнього комплексу та окремих залізниць.</w:t>
                  </w:r>
                </w:p>
                <w:p w14:paraId="02C0DD3D" w14:textId="77777777" w:rsidR="005E4150" w:rsidRPr="005E4150" w:rsidRDefault="005E4150" w:rsidP="005E4150">
                  <w:pPr>
                    <w:framePr w:hSpace="45" w:wrap="around" w:vAnchor="text" w:hAnchor="text" w:xAlign="right" w:yAlign="cente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5E4150">
                    <w:rPr>
                      <w:rFonts w:ascii="Times New Roman" w:eastAsia="Times New Roman" w:hAnsi="Times New Roman" w:cs="Times New Roman"/>
                      <w:sz w:val="24"/>
                      <w:szCs w:val="24"/>
                    </w:rPr>
                    <w:t>Проведено аналіз можливих джерел і обґрунтована доцільність залучення інвестицій у залізничні інвестиційні проекти з різних джерел фінансування у залежності від значимості проекту для держави, реґіону, міста або залізниці, сфери реалізації і розміру проекту, терміну окупності витрат, а також структури ефектів від впровадження проекту.</w:t>
                  </w:r>
                </w:p>
                <w:p w14:paraId="3BF410C0" w14:textId="77777777" w:rsidR="005E4150" w:rsidRPr="005E4150" w:rsidRDefault="005E4150" w:rsidP="005E4150">
                  <w:pPr>
                    <w:framePr w:hSpace="45" w:wrap="around" w:vAnchor="text" w:hAnchor="text" w:xAlign="right" w:yAlign="cente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5E4150">
                    <w:rPr>
                      <w:rFonts w:ascii="Times New Roman" w:eastAsia="Times New Roman" w:hAnsi="Times New Roman" w:cs="Times New Roman"/>
                      <w:sz w:val="24"/>
                      <w:szCs w:val="24"/>
                    </w:rPr>
                    <w:t>Обґрунтовано основні напрямки удосконалення механізму розподілу інвестицій на рівні Укрзалізниці та окремих залізниць. Доведено, що для оптимізації інвестиційної програми конкретної залізниці найбільш правомірним є застосування моделі цілочислового лінійного програмування, використання якої дає можливість встановлення необхідних обмежень між двома чи декількома змінними рішення. З метою забезпечення пропорційного розвитку всіх галузевих господарств залізничного транспорту та окремих залізниць розподіл інвестицій між об’єктами необхідно здійснювати на підставі двох критеріїв: середнього індексу доходності інвестицій, вкладених в активи, і коефіцієнта придатності основних виробничих фондів цього ж об’єкту.</w:t>
                  </w:r>
                </w:p>
                <w:p w14:paraId="1D337A4F" w14:textId="77777777" w:rsidR="005E4150" w:rsidRPr="005E4150" w:rsidRDefault="005E4150" w:rsidP="005E4150">
                  <w:pPr>
                    <w:framePr w:hSpace="45" w:wrap="around" w:vAnchor="text" w:hAnchor="text" w:xAlign="right" w:yAlign="cente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5E4150">
                    <w:rPr>
                      <w:rFonts w:ascii="Times New Roman" w:eastAsia="Times New Roman" w:hAnsi="Times New Roman" w:cs="Times New Roman"/>
                      <w:sz w:val="24"/>
                      <w:szCs w:val="24"/>
                    </w:rPr>
                    <w:t xml:space="preserve">Розроблено теоретичні положення і методичні підходи до комплексного оцінювання рівня інвестиційної привабливості залізниць України, яке доречно здійснювати з урахуванням </w:t>
                  </w:r>
                  <w:r w:rsidRPr="005E4150">
                    <w:rPr>
                      <w:rFonts w:ascii="Times New Roman" w:eastAsia="Times New Roman" w:hAnsi="Times New Roman" w:cs="Times New Roman"/>
                      <w:sz w:val="24"/>
                      <w:szCs w:val="24"/>
                    </w:rPr>
                    <w:lastRenderedPageBreak/>
                    <w:t>інвестиційної привабливості реґіонів тяжіння залізниць, виду економічної діяльності та залізничного транспорту в цілому.</w:t>
                  </w:r>
                </w:p>
                <w:p w14:paraId="5AE7EA09" w14:textId="77777777" w:rsidR="005E4150" w:rsidRPr="005E4150" w:rsidRDefault="005E4150" w:rsidP="005E4150">
                  <w:pPr>
                    <w:framePr w:hSpace="45" w:wrap="around" w:vAnchor="text" w:hAnchor="text" w:xAlign="right" w:yAlign="cente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5E4150">
                    <w:rPr>
                      <w:rFonts w:ascii="Times New Roman" w:eastAsia="Times New Roman" w:hAnsi="Times New Roman" w:cs="Times New Roman"/>
                      <w:sz w:val="24"/>
                      <w:szCs w:val="24"/>
                    </w:rPr>
                    <w:t>Удосконалено метод визначення вагомості аналітичних і синтетичних показників при оцінюванні рівня інвестиційної привабливості реґіонів та видів економічної діяльності, який передбачає визначення коефіцієнтів вагомості показників на основі коефіцієнтів кореляції між обраним показником і обсягом залучених прямих іноземних інвестицій.</w:t>
                  </w:r>
                </w:p>
                <w:p w14:paraId="0E0A4419" w14:textId="77777777" w:rsidR="005E4150" w:rsidRPr="005E4150" w:rsidRDefault="005E4150" w:rsidP="005E4150">
                  <w:pPr>
                    <w:framePr w:hSpace="45" w:wrap="around" w:vAnchor="text" w:hAnchor="text" w:xAlign="right" w:yAlign="cente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5E4150">
                    <w:rPr>
                      <w:rFonts w:ascii="Times New Roman" w:eastAsia="Times New Roman" w:hAnsi="Times New Roman" w:cs="Times New Roman"/>
                      <w:sz w:val="24"/>
                      <w:szCs w:val="24"/>
                    </w:rPr>
                    <w:t>Запропоновано методичний підхід до зведення інтеґральних показників рівня інвестиційної привабливості реґіонів тяжіння залізниці для визначення інтеґрального показника території тяжіння даної залізниці, який передбачає зведення інтеґральних показників інвестиційної привабливості реґіонів, які обслуговує одна залізниця, в інтеґральний показник території її тяжіння, з урахуванням вагомості валової доданої вартості (ВДВ) реґіонів, розташованих на даній території, у загальній сумі ВДВ цих реґіонів.</w:t>
                  </w:r>
                </w:p>
                <w:p w14:paraId="3AE32AFB" w14:textId="77777777" w:rsidR="005E4150" w:rsidRPr="005E4150" w:rsidRDefault="005E4150" w:rsidP="005E4150">
                  <w:pPr>
                    <w:framePr w:hSpace="45" w:wrap="around" w:vAnchor="text" w:hAnchor="text" w:xAlign="right" w:yAlign="cente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5E4150">
                    <w:rPr>
                      <w:rFonts w:ascii="Times New Roman" w:eastAsia="Times New Roman" w:hAnsi="Times New Roman" w:cs="Times New Roman"/>
                      <w:sz w:val="24"/>
                      <w:szCs w:val="24"/>
                    </w:rPr>
                    <w:t>Побудовано економіко-математичну модель залежності рівня інвестиційної привабливості залізниць України від комплексу показників їхньої діяльності. Розроблена модель відповідає основним вимогам, які висуваються до такого типу моделей (коефіцієнт множинної кореляції дорівнює </w:t>
                  </w:r>
                  <w:r w:rsidRPr="005E4150">
                    <w:rPr>
                      <w:rFonts w:ascii="Times New Roman" w:eastAsia="Times New Roman" w:hAnsi="Times New Roman" w:cs="Times New Roman"/>
                      <w:i/>
                      <w:iCs/>
                      <w:sz w:val="24"/>
                      <w:szCs w:val="24"/>
                    </w:rPr>
                    <w:t>0,9738</w:t>
                  </w:r>
                  <w:r w:rsidRPr="005E4150">
                    <w:rPr>
                      <w:rFonts w:ascii="Times New Roman" w:eastAsia="Times New Roman" w:hAnsi="Times New Roman" w:cs="Times New Roman"/>
                      <w:sz w:val="24"/>
                      <w:szCs w:val="24"/>
                    </w:rPr>
                    <w:t>, коефіцієнт детермінації – </w:t>
                  </w:r>
                  <w:r w:rsidRPr="005E4150">
                    <w:rPr>
                      <w:rFonts w:ascii="Times New Roman" w:eastAsia="Times New Roman" w:hAnsi="Times New Roman" w:cs="Times New Roman"/>
                      <w:i/>
                      <w:iCs/>
                      <w:sz w:val="24"/>
                      <w:szCs w:val="24"/>
                    </w:rPr>
                    <w:t>0,9483</w:t>
                  </w:r>
                  <w:r w:rsidRPr="005E4150">
                    <w:rPr>
                      <w:rFonts w:ascii="Times New Roman" w:eastAsia="Times New Roman" w:hAnsi="Times New Roman" w:cs="Times New Roman"/>
                      <w:sz w:val="24"/>
                      <w:szCs w:val="24"/>
                    </w:rPr>
                    <w:t>, стандартна похибка апроксимації – </w:t>
                  </w:r>
                  <w:r w:rsidRPr="005E4150">
                    <w:rPr>
                      <w:rFonts w:ascii="Times New Roman" w:eastAsia="Times New Roman" w:hAnsi="Times New Roman" w:cs="Times New Roman"/>
                      <w:i/>
                      <w:iCs/>
                      <w:sz w:val="24"/>
                      <w:szCs w:val="24"/>
                    </w:rPr>
                    <w:t>0,0243</w:t>
                  </w:r>
                  <w:r w:rsidRPr="005E4150">
                    <w:rPr>
                      <w:rFonts w:ascii="Times New Roman" w:eastAsia="Times New Roman" w:hAnsi="Times New Roman" w:cs="Times New Roman"/>
                      <w:sz w:val="24"/>
                      <w:szCs w:val="24"/>
                    </w:rPr>
                    <w:t>, фактичне значення критерію Фішера – </w:t>
                  </w:r>
                  <w:r w:rsidRPr="005E4150">
                    <w:rPr>
                      <w:rFonts w:ascii="Times New Roman" w:eastAsia="Times New Roman" w:hAnsi="Times New Roman" w:cs="Times New Roman"/>
                      <w:i/>
                      <w:iCs/>
                      <w:sz w:val="24"/>
                      <w:szCs w:val="24"/>
                    </w:rPr>
                    <w:t>130,621</w:t>
                  </w:r>
                  <w:r w:rsidRPr="005E4150">
                    <w:rPr>
                      <w:rFonts w:ascii="Times New Roman" w:eastAsia="Times New Roman" w:hAnsi="Times New Roman" w:cs="Times New Roman"/>
                      <w:sz w:val="24"/>
                      <w:szCs w:val="24"/>
                    </w:rPr>
                    <w:t>), та має високий ступінь відповідності розрахункових і фактичних значень.</w:t>
                  </w:r>
                </w:p>
              </w:tc>
            </w:tr>
          </w:tbl>
          <w:p w14:paraId="3F90CDB3" w14:textId="77777777" w:rsidR="005E4150" w:rsidRPr="005E4150" w:rsidRDefault="005E4150" w:rsidP="005E4150">
            <w:pPr>
              <w:spacing w:after="0" w:line="240" w:lineRule="auto"/>
              <w:rPr>
                <w:rFonts w:ascii="Times New Roman" w:eastAsia="Times New Roman" w:hAnsi="Times New Roman" w:cs="Times New Roman"/>
                <w:sz w:val="24"/>
                <w:szCs w:val="24"/>
              </w:rPr>
            </w:pPr>
          </w:p>
        </w:tc>
      </w:tr>
    </w:tbl>
    <w:p w14:paraId="3BB7B6CA" w14:textId="77777777" w:rsidR="005E4150" w:rsidRPr="005E4150" w:rsidRDefault="005E4150" w:rsidP="005E4150"/>
    <w:sectPr w:rsidR="005E4150" w:rsidRPr="005E415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44CD9" w14:textId="77777777" w:rsidR="002C33CC" w:rsidRDefault="002C33CC">
      <w:pPr>
        <w:spacing w:after="0" w:line="240" w:lineRule="auto"/>
      </w:pPr>
      <w:r>
        <w:separator/>
      </w:r>
    </w:p>
  </w:endnote>
  <w:endnote w:type="continuationSeparator" w:id="0">
    <w:p w14:paraId="0963872F" w14:textId="77777777" w:rsidR="002C33CC" w:rsidRDefault="002C3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50441" w14:textId="77777777" w:rsidR="002C33CC" w:rsidRDefault="002C33CC">
      <w:pPr>
        <w:spacing w:after="0" w:line="240" w:lineRule="auto"/>
      </w:pPr>
      <w:r>
        <w:separator/>
      </w:r>
    </w:p>
  </w:footnote>
  <w:footnote w:type="continuationSeparator" w:id="0">
    <w:p w14:paraId="4B1DA4E7" w14:textId="77777777" w:rsidR="002C33CC" w:rsidRDefault="002C33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C33C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611DE"/>
    <w:multiLevelType w:val="multilevel"/>
    <w:tmpl w:val="2592D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AB7875"/>
    <w:multiLevelType w:val="multilevel"/>
    <w:tmpl w:val="0568D12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E10E2B"/>
    <w:multiLevelType w:val="multilevel"/>
    <w:tmpl w:val="7436D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3066B3"/>
    <w:multiLevelType w:val="multilevel"/>
    <w:tmpl w:val="55B0BA6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BF4E75"/>
    <w:multiLevelType w:val="multilevel"/>
    <w:tmpl w:val="4E70B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F00CFE"/>
    <w:multiLevelType w:val="multilevel"/>
    <w:tmpl w:val="17CA0C5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BC1A21"/>
    <w:multiLevelType w:val="multilevel"/>
    <w:tmpl w:val="307A1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910AA9"/>
    <w:multiLevelType w:val="multilevel"/>
    <w:tmpl w:val="30FE0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FA5871"/>
    <w:multiLevelType w:val="multilevel"/>
    <w:tmpl w:val="67D00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D15396"/>
    <w:multiLevelType w:val="multilevel"/>
    <w:tmpl w:val="C87E3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9F2928"/>
    <w:multiLevelType w:val="multilevel"/>
    <w:tmpl w:val="39780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DC670D"/>
    <w:multiLevelType w:val="multilevel"/>
    <w:tmpl w:val="71B6CF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B35425"/>
    <w:multiLevelType w:val="multilevel"/>
    <w:tmpl w:val="AD1CA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8F0CC6"/>
    <w:multiLevelType w:val="multilevel"/>
    <w:tmpl w:val="7D383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8D223A"/>
    <w:multiLevelType w:val="multilevel"/>
    <w:tmpl w:val="90E65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72D0353"/>
    <w:multiLevelType w:val="multilevel"/>
    <w:tmpl w:val="56C4F54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26427D"/>
    <w:multiLevelType w:val="multilevel"/>
    <w:tmpl w:val="D04EE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2796912"/>
    <w:multiLevelType w:val="multilevel"/>
    <w:tmpl w:val="6CB61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BF43E7"/>
    <w:multiLevelType w:val="multilevel"/>
    <w:tmpl w:val="6E423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F0103E"/>
    <w:multiLevelType w:val="multilevel"/>
    <w:tmpl w:val="A07056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4AE7CE5"/>
    <w:multiLevelType w:val="multilevel"/>
    <w:tmpl w:val="74566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BC22636"/>
    <w:multiLevelType w:val="multilevel"/>
    <w:tmpl w:val="28C0B9C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DD94B7E"/>
    <w:multiLevelType w:val="multilevel"/>
    <w:tmpl w:val="D4AA3C0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400965"/>
    <w:multiLevelType w:val="multilevel"/>
    <w:tmpl w:val="43B847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58C2A83"/>
    <w:multiLevelType w:val="multilevel"/>
    <w:tmpl w:val="55947C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84E6DEB"/>
    <w:multiLevelType w:val="multilevel"/>
    <w:tmpl w:val="55BEDC8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D956016"/>
    <w:multiLevelType w:val="multilevel"/>
    <w:tmpl w:val="DDD4C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F6576DF"/>
    <w:multiLevelType w:val="multilevel"/>
    <w:tmpl w:val="46744B9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0E20E9A"/>
    <w:multiLevelType w:val="multilevel"/>
    <w:tmpl w:val="DD14C73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18501B1"/>
    <w:multiLevelType w:val="multilevel"/>
    <w:tmpl w:val="1F4AA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1A014B8"/>
    <w:multiLevelType w:val="multilevel"/>
    <w:tmpl w:val="14DE05F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1C93960"/>
    <w:multiLevelType w:val="multilevel"/>
    <w:tmpl w:val="C6762AD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2301EBB"/>
    <w:multiLevelType w:val="multilevel"/>
    <w:tmpl w:val="259C2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3B73B81"/>
    <w:multiLevelType w:val="multilevel"/>
    <w:tmpl w:val="0ECC29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4253C57"/>
    <w:multiLevelType w:val="multilevel"/>
    <w:tmpl w:val="1B144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6DB2803"/>
    <w:multiLevelType w:val="multilevel"/>
    <w:tmpl w:val="61347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70460F3"/>
    <w:multiLevelType w:val="multilevel"/>
    <w:tmpl w:val="4A109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77E1068"/>
    <w:multiLevelType w:val="multilevel"/>
    <w:tmpl w:val="1EAAD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13C69D6"/>
    <w:multiLevelType w:val="multilevel"/>
    <w:tmpl w:val="1AF47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1D36D52"/>
    <w:multiLevelType w:val="multilevel"/>
    <w:tmpl w:val="7842E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2FF65C5"/>
    <w:multiLevelType w:val="multilevel"/>
    <w:tmpl w:val="13748DE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4687A2D"/>
    <w:multiLevelType w:val="multilevel"/>
    <w:tmpl w:val="E26E45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6DE7B42"/>
    <w:multiLevelType w:val="multilevel"/>
    <w:tmpl w:val="AB161D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7217E5C"/>
    <w:multiLevelType w:val="multilevel"/>
    <w:tmpl w:val="B422317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7584712"/>
    <w:multiLevelType w:val="multilevel"/>
    <w:tmpl w:val="5EECE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B9D7ADE"/>
    <w:multiLevelType w:val="multilevel"/>
    <w:tmpl w:val="CFF45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5"/>
  </w:num>
  <w:num w:numId="3">
    <w:abstractNumId w:val="13"/>
  </w:num>
  <w:num w:numId="4">
    <w:abstractNumId w:val="36"/>
  </w:num>
  <w:num w:numId="5">
    <w:abstractNumId w:val="0"/>
  </w:num>
  <w:num w:numId="6">
    <w:abstractNumId w:val="33"/>
  </w:num>
  <w:num w:numId="7">
    <w:abstractNumId w:val="31"/>
  </w:num>
  <w:num w:numId="8">
    <w:abstractNumId w:val="27"/>
  </w:num>
  <w:num w:numId="9">
    <w:abstractNumId w:val="26"/>
  </w:num>
  <w:num w:numId="10">
    <w:abstractNumId w:val="15"/>
  </w:num>
  <w:num w:numId="11">
    <w:abstractNumId w:val="28"/>
  </w:num>
  <w:num w:numId="12">
    <w:abstractNumId w:val="45"/>
  </w:num>
  <w:num w:numId="13">
    <w:abstractNumId w:val="1"/>
  </w:num>
  <w:num w:numId="14">
    <w:abstractNumId w:val="9"/>
  </w:num>
  <w:num w:numId="15">
    <w:abstractNumId w:val="10"/>
  </w:num>
  <w:num w:numId="16">
    <w:abstractNumId w:val="19"/>
  </w:num>
  <w:num w:numId="17">
    <w:abstractNumId w:val="25"/>
  </w:num>
  <w:num w:numId="18">
    <w:abstractNumId w:val="7"/>
  </w:num>
  <w:num w:numId="19">
    <w:abstractNumId w:val="6"/>
  </w:num>
  <w:num w:numId="20">
    <w:abstractNumId w:val="22"/>
  </w:num>
  <w:num w:numId="21">
    <w:abstractNumId w:val="37"/>
  </w:num>
  <w:num w:numId="22">
    <w:abstractNumId w:val="24"/>
  </w:num>
  <w:num w:numId="23">
    <w:abstractNumId w:val="18"/>
  </w:num>
  <w:num w:numId="24">
    <w:abstractNumId w:val="34"/>
  </w:num>
  <w:num w:numId="25">
    <w:abstractNumId w:val="3"/>
  </w:num>
  <w:num w:numId="26">
    <w:abstractNumId w:val="17"/>
  </w:num>
  <w:num w:numId="27">
    <w:abstractNumId w:val="44"/>
  </w:num>
  <w:num w:numId="28">
    <w:abstractNumId w:val="30"/>
  </w:num>
  <w:num w:numId="29">
    <w:abstractNumId w:val="12"/>
  </w:num>
  <w:num w:numId="30">
    <w:abstractNumId w:val="4"/>
  </w:num>
  <w:num w:numId="31">
    <w:abstractNumId w:val="43"/>
  </w:num>
  <w:num w:numId="32">
    <w:abstractNumId w:val="2"/>
  </w:num>
  <w:num w:numId="33">
    <w:abstractNumId w:val="42"/>
  </w:num>
  <w:num w:numId="34">
    <w:abstractNumId w:val="8"/>
  </w:num>
  <w:num w:numId="35">
    <w:abstractNumId w:val="32"/>
  </w:num>
  <w:num w:numId="36">
    <w:abstractNumId w:val="11"/>
  </w:num>
  <w:num w:numId="37">
    <w:abstractNumId w:val="16"/>
  </w:num>
  <w:num w:numId="38">
    <w:abstractNumId w:val="35"/>
  </w:num>
  <w:num w:numId="39">
    <w:abstractNumId w:val="20"/>
  </w:num>
  <w:num w:numId="40">
    <w:abstractNumId w:val="40"/>
  </w:num>
  <w:num w:numId="41">
    <w:abstractNumId w:val="29"/>
  </w:num>
  <w:num w:numId="42">
    <w:abstractNumId w:val="21"/>
  </w:num>
  <w:num w:numId="43">
    <w:abstractNumId w:val="38"/>
  </w:num>
  <w:num w:numId="44">
    <w:abstractNumId w:val="41"/>
  </w:num>
  <w:num w:numId="45">
    <w:abstractNumId w:val="39"/>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833"/>
    <w:rsid w:val="001C3946"/>
    <w:rsid w:val="001C3A58"/>
    <w:rsid w:val="001C3C96"/>
    <w:rsid w:val="001C3CB0"/>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3F1"/>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ECF"/>
    <w:rsid w:val="00260185"/>
    <w:rsid w:val="00260294"/>
    <w:rsid w:val="0026069C"/>
    <w:rsid w:val="002607A5"/>
    <w:rsid w:val="00260B23"/>
    <w:rsid w:val="00260B3B"/>
    <w:rsid w:val="00260B6E"/>
    <w:rsid w:val="00260CC9"/>
    <w:rsid w:val="00260E2B"/>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313"/>
    <w:rsid w:val="002C3365"/>
    <w:rsid w:val="002C33C7"/>
    <w:rsid w:val="002C33CC"/>
    <w:rsid w:val="002C353E"/>
    <w:rsid w:val="002C35C8"/>
    <w:rsid w:val="002C370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2FD6"/>
    <w:rsid w:val="004C3313"/>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1F5C"/>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881"/>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CA9"/>
    <w:rsid w:val="006A0D50"/>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4CFD"/>
    <w:rsid w:val="0087516C"/>
    <w:rsid w:val="008754C3"/>
    <w:rsid w:val="00875714"/>
    <w:rsid w:val="0087591F"/>
    <w:rsid w:val="00875D41"/>
    <w:rsid w:val="00875D80"/>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7A1"/>
    <w:rsid w:val="009E5BAE"/>
    <w:rsid w:val="009E5C47"/>
    <w:rsid w:val="009E5CD4"/>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251"/>
    <w:rsid w:val="00B0662C"/>
    <w:rsid w:val="00B06779"/>
    <w:rsid w:val="00B06AA8"/>
    <w:rsid w:val="00B06AFA"/>
    <w:rsid w:val="00B0742D"/>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94C"/>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1B4"/>
    <w:rsid w:val="00D05201"/>
    <w:rsid w:val="00D0522D"/>
    <w:rsid w:val="00D055D5"/>
    <w:rsid w:val="00D05692"/>
    <w:rsid w:val="00D058A7"/>
    <w:rsid w:val="00D05BB9"/>
    <w:rsid w:val="00D05CEF"/>
    <w:rsid w:val="00D05F5C"/>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E5E"/>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A33"/>
    <w:rsid w:val="00DF5A94"/>
    <w:rsid w:val="00DF5AEE"/>
    <w:rsid w:val="00DF5B4B"/>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DAB"/>
    <w:rsid w:val="00E01E59"/>
    <w:rsid w:val="00E01F71"/>
    <w:rsid w:val="00E0233D"/>
    <w:rsid w:val="00E02367"/>
    <w:rsid w:val="00E02677"/>
    <w:rsid w:val="00E027A0"/>
    <w:rsid w:val="00E02B4F"/>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1CA6"/>
    <w:rsid w:val="00F31ED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03"/>
    <w:rsid w:val="00F84647"/>
    <w:rsid w:val="00F84B70"/>
    <w:rsid w:val="00F84C96"/>
    <w:rsid w:val="00F84E5B"/>
    <w:rsid w:val="00F85113"/>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274"/>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2E"/>
    <w:rsid w:val="00FF418F"/>
    <w:rsid w:val="00FF454F"/>
    <w:rsid w:val="00FF4745"/>
    <w:rsid w:val="00FF47C0"/>
    <w:rsid w:val="00FF4853"/>
    <w:rsid w:val="00FF48E9"/>
    <w:rsid w:val="00FF48F9"/>
    <w:rsid w:val="00FF4B58"/>
    <w:rsid w:val="00FF4B79"/>
    <w:rsid w:val="00FF4D93"/>
    <w:rsid w:val="00FF52D0"/>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96819</TotalTime>
  <Pages>3</Pages>
  <Words>736</Words>
  <Characters>4198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5669</cp:revision>
  <dcterms:created xsi:type="dcterms:W3CDTF">2024-06-20T08:51:00Z</dcterms:created>
  <dcterms:modified xsi:type="dcterms:W3CDTF">2024-10-04T21:08:00Z</dcterms:modified>
  <cp:category/>
</cp:coreProperties>
</file>