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91" w:rsidRPr="007C4F91" w:rsidRDefault="007C4F91" w:rsidP="007C4F91">
      <w:pPr>
        <w:tabs>
          <w:tab w:val="clear" w:pos="709"/>
        </w:tabs>
        <w:suppressAutoHyphens w:val="0"/>
        <w:spacing w:after="639" w:line="300" w:lineRule="exact"/>
        <w:ind w:right="80" w:firstLine="0"/>
        <w:jc w:val="center"/>
        <w:rPr>
          <w:rFonts w:ascii="Times New Roman" w:eastAsia="Times New Roman" w:hAnsi="Times New Roman" w:cs="Times New Roman"/>
          <w:b/>
          <w:bCs/>
          <w:color w:val="000000"/>
          <w:kern w:val="0"/>
          <w:sz w:val="30"/>
          <w:szCs w:val="30"/>
          <w:lang w:eastAsia="ru-RU" w:bidi="ru-RU"/>
        </w:rPr>
      </w:pPr>
      <w:r w:rsidRPr="007C4F91">
        <w:rPr>
          <w:rFonts w:ascii="Times New Roman" w:eastAsia="Times New Roman" w:hAnsi="Times New Roman" w:cs="Times New Roman"/>
          <w:b/>
          <w:bCs/>
          <w:color w:val="000000"/>
          <w:kern w:val="0"/>
          <w:sz w:val="30"/>
          <w:szCs w:val="30"/>
          <w:lang w:eastAsia="ru-RU" w:bidi="ru-RU"/>
        </w:rPr>
        <w:t>Российский Университет Дружбы Народов</w:t>
      </w:r>
    </w:p>
    <w:p w:rsidR="007C4F91" w:rsidRPr="007C4F91" w:rsidRDefault="007C4F91" w:rsidP="007C4F91">
      <w:pPr>
        <w:tabs>
          <w:tab w:val="clear" w:pos="709"/>
        </w:tabs>
        <w:suppressAutoHyphens w:val="0"/>
        <w:spacing w:after="1063" w:line="260" w:lineRule="exact"/>
        <w:ind w:firstLine="0"/>
        <w:jc w:val="righ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На правах рукописи</w:t>
      </w:r>
    </w:p>
    <w:p w:rsidR="007C4F91" w:rsidRPr="007C4F91" w:rsidRDefault="007C4F91" w:rsidP="007C4F91">
      <w:pPr>
        <w:keepNext/>
        <w:keepLines/>
        <w:tabs>
          <w:tab w:val="clear" w:pos="709"/>
        </w:tabs>
        <w:suppressAutoHyphens w:val="0"/>
        <w:spacing w:after="843" w:line="340" w:lineRule="exact"/>
        <w:ind w:right="80" w:firstLine="0"/>
        <w:jc w:val="center"/>
        <w:outlineLvl w:val="3"/>
        <w:rPr>
          <w:rFonts w:ascii="Times New Roman" w:eastAsia="Times New Roman" w:hAnsi="Times New Roman" w:cs="Times New Roman"/>
          <w:b/>
          <w:bCs/>
          <w:color w:val="000000"/>
          <w:kern w:val="0"/>
          <w:sz w:val="34"/>
          <w:szCs w:val="34"/>
          <w:lang w:eastAsia="ru-RU" w:bidi="ru-RU"/>
        </w:rPr>
      </w:pPr>
      <w:bookmarkStart w:id="0" w:name="bookmark1"/>
      <w:r w:rsidRPr="007C4F91">
        <w:rPr>
          <w:rFonts w:ascii="Times New Roman" w:eastAsia="Times New Roman" w:hAnsi="Times New Roman" w:cs="Times New Roman"/>
          <w:b/>
          <w:bCs/>
          <w:color w:val="000000"/>
          <w:kern w:val="0"/>
          <w:sz w:val="34"/>
          <w:szCs w:val="34"/>
          <w:lang w:eastAsia="ru-RU" w:bidi="ru-RU"/>
        </w:rPr>
        <w:t>АНДРОНОВА ИННА ВИТАЛЬЕВНА</w:t>
      </w:r>
      <w:bookmarkEnd w:id="0"/>
    </w:p>
    <w:p w:rsidR="007C4F91" w:rsidRPr="007C4F91" w:rsidRDefault="007C4F91" w:rsidP="007C4F91">
      <w:pPr>
        <w:tabs>
          <w:tab w:val="clear" w:pos="709"/>
        </w:tabs>
        <w:suppressAutoHyphens w:val="0"/>
        <w:spacing w:after="0" w:line="347" w:lineRule="exact"/>
        <w:ind w:right="80" w:firstLine="0"/>
        <w:jc w:val="center"/>
        <w:rPr>
          <w:rFonts w:ascii="Times New Roman" w:eastAsia="Times New Roman" w:hAnsi="Times New Roman" w:cs="Times New Roman"/>
          <w:b/>
          <w:bCs/>
          <w:color w:val="000000"/>
          <w:kern w:val="0"/>
          <w:sz w:val="28"/>
          <w:szCs w:val="28"/>
          <w:lang w:eastAsia="ru-RU" w:bidi="ru-RU"/>
        </w:rPr>
      </w:pPr>
      <w:r w:rsidRPr="007C4F91">
        <w:rPr>
          <w:rFonts w:ascii="Times New Roman" w:eastAsia="Times New Roman" w:hAnsi="Times New Roman" w:cs="Times New Roman"/>
          <w:b/>
          <w:bCs/>
          <w:color w:val="000000"/>
          <w:kern w:val="0"/>
          <w:sz w:val="28"/>
          <w:szCs w:val="28"/>
          <w:lang w:eastAsia="ru-RU" w:bidi="ru-RU"/>
        </w:rPr>
        <w:t>Влияние официального многостороннего финансирования на социально-экономическое развитие стран Азии, Латинской Америки и России</w:t>
      </w:r>
    </w:p>
    <w:p w:rsidR="007C4F91" w:rsidRPr="007C4F91" w:rsidRDefault="007C4F91" w:rsidP="007C4F91">
      <w:pPr>
        <w:tabs>
          <w:tab w:val="clear" w:pos="709"/>
        </w:tabs>
        <w:suppressAutoHyphens w:val="0"/>
        <w:spacing w:after="874" w:line="260" w:lineRule="exact"/>
        <w:ind w:left="340"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08.00.14,- Мировая экономика</w:t>
      </w:r>
    </w:p>
    <w:p w:rsidR="007C4F91" w:rsidRPr="007C4F91" w:rsidRDefault="007C4F91" w:rsidP="007C4F91">
      <w:pPr>
        <w:keepNext/>
        <w:keepLines/>
        <w:tabs>
          <w:tab w:val="clear" w:pos="709"/>
        </w:tabs>
        <w:suppressAutoHyphens w:val="0"/>
        <w:spacing w:after="459" w:line="380" w:lineRule="exact"/>
        <w:ind w:right="80" w:firstLine="0"/>
        <w:jc w:val="center"/>
        <w:outlineLvl w:val="2"/>
        <w:rPr>
          <w:rFonts w:ascii="Times New Roman" w:eastAsia="Times New Roman" w:hAnsi="Times New Roman" w:cs="Times New Roman"/>
          <w:b/>
          <w:bCs/>
          <w:color w:val="000000"/>
          <w:kern w:val="0"/>
          <w:sz w:val="38"/>
          <w:szCs w:val="38"/>
          <w:lang w:eastAsia="ru-RU" w:bidi="ru-RU"/>
        </w:rPr>
      </w:pPr>
      <w:bookmarkStart w:id="1" w:name="bookmark2"/>
      <w:r w:rsidRPr="007C4F91">
        <w:rPr>
          <w:rFonts w:ascii="Times New Roman" w:eastAsia="Times New Roman" w:hAnsi="Times New Roman" w:cs="Times New Roman"/>
          <w:b/>
          <w:bCs/>
          <w:color w:val="000000"/>
          <w:kern w:val="0"/>
          <w:sz w:val="38"/>
          <w:szCs w:val="38"/>
          <w:lang w:eastAsia="ru-RU" w:bidi="ru-RU"/>
        </w:rPr>
        <w:t>ДИССЕРТАЦИЯ</w:t>
      </w:r>
      <w:bookmarkEnd w:id="1"/>
    </w:p>
    <w:p w:rsidR="007C4F91" w:rsidRPr="007C4F91" w:rsidRDefault="007C4F91" w:rsidP="007C4F91">
      <w:pPr>
        <w:tabs>
          <w:tab w:val="clear" w:pos="709"/>
        </w:tabs>
        <w:suppressAutoHyphens w:val="0"/>
        <w:spacing w:after="1747" w:line="280" w:lineRule="exact"/>
        <w:ind w:right="80" w:firstLine="0"/>
        <w:jc w:val="center"/>
        <w:rPr>
          <w:rFonts w:ascii="Times New Roman" w:eastAsia="Times New Roman" w:hAnsi="Times New Roman" w:cs="Times New Roman"/>
          <w:b/>
          <w:bCs/>
          <w:color w:val="000000"/>
          <w:kern w:val="0"/>
          <w:sz w:val="28"/>
          <w:szCs w:val="28"/>
          <w:lang w:eastAsia="ru-RU" w:bidi="ru-RU"/>
        </w:rPr>
      </w:pPr>
      <w:r w:rsidRPr="007C4F91">
        <w:rPr>
          <w:rFonts w:ascii="Times New Roman" w:eastAsia="Times New Roman" w:hAnsi="Times New Roman" w:cs="Times New Roman"/>
          <w:b/>
          <w:bCs/>
          <w:color w:val="000000"/>
          <w:kern w:val="0"/>
          <w:sz w:val="28"/>
          <w:szCs w:val="28"/>
          <w:lang w:eastAsia="ru-RU" w:bidi="ru-RU"/>
        </w:rPr>
        <w:t>на соискание ученой степени кандидата экономических наук</w:t>
      </w:r>
    </w:p>
    <w:p w:rsidR="007C4F91" w:rsidRPr="007C4F91" w:rsidRDefault="007C4F91" w:rsidP="007C4F91">
      <w:pPr>
        <w:tabs>
          <w:tab w:val="clear" w:pos="709"/>
        </w:tabs>
        <w:suppressAutoHyphens w:val="0"/>
        <w:spacing w:after="1962" w:line="462" w:lineRule="exact"/>
        <w:ind w:left="5180" w:right="800"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Научный руководитель д.э.н., профессор Федякина Л.Н</w:t>
      </w:r>
    </w:p>
    <w:p w:rsidR="007C4F91" w:rsidRPr="007C4F91" w:rsidRDefault="007C4F91" w:rsidP="007C4F91">
      <w:pPr>
        <w:tabs>
          <w:tab w:val="clear" w:pos="709"/>
        </w:tabs>
        <w:suppressAutoHyphens w:val="0"/>
        <w:spacing w:after="0" w:line="260" w:lineRule="exact"/>
        <w:ind w:right="80" w:firstLine="0"/>
        <w:jc w:val="center"/>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Москва 2004</w:t>
      </w:r>
    </w:p>
    <w:p w:rsidR="007C4F91" w:rsidRPr="007C4F91" w:rsidRDefault="007C4F91" w:rsidP="007C4F91">
      <w:pPr>
        <w:tabs>
          <w:tab w:val="clear" w:pos="709"/>
        </w:tabs>
        <w:suppressAutoHyphens w:val="0"/>
        <w:spacing w:after="23" w:line="260" w:lineRule="exact"/>
        <w:ind w:left="4200"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СОДЕРЖАНИЕ</w:t>
      </w:r>
    </w:p>
    <w:p w:rsidR="007C4F91" w:rsidRPr="007C4F91" w:rsidRDefault="007C4F91" w:rsidP="007C4F91">
      <w:pPr>
        <w:tabs>
          <w:tab w:val="clear" w:pos="709"/>
          <w:tab w:val="left" w:leader="dot" w:pos="907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fldChar w:fldCharType="begin"/>
      </w:r>
      <w:r w:rsidRPr="007C4F91">
        <w:rPr>
          <w:rFonts w:ascii="Times New Roman" w:eastAsia="Times New Roman" w:hAnsi="Times New Roman" w:cs="Times New Roman"/>
          <w:color w:val="000000"/>
          <w:kern w:val="0"/>
          <w:sz w:val="26"/>
          <w:szCs w:val="26"/>
          <w:lang w:eastAsia="ru-RU" w:bidi="ru-RU"/>
        </w:rPr>
        <w:instrText xml:space="preserve"> TOC \o "1-5" \h \z </w:instrText>
      </w:r>
      <w:r w:rsidRPr="007C4F91">
        <w:rPr>
          <w:rFonts w:ascii="Times New Roman" w:eastAsia="Times New Roman" w:hAnsi="Times New Roman" w:cs="Times New Roman"/>
          <w:color w:val="000000"/>
          <w:kern w:val="0"/>
          <w:sz w:val="26"/>
          <w:szCs w:val="26"/>
          <w:lang w:eastAsia="ru-RU" w:bidi="ru-RU"/>
        </w:rPr>
        <w:fldChar w:fldCharType="separate"/>
      </w:r>
      <w:r w:rsidRPr="007C4F91">
        <w:rPr>
          <w:rFonts w:ascii="Times New Roman" w:eastAsia="Times New Roman" w:hAnsi="Times New Roman" w:cs="Times New Roman"/>
          <w:color w:val="000000"/>
          <w:kern w:val="0"/>
          <w:sz w:val="26"/>
          <w:szCs w:val="26"/>
          <w:lang w:eastAsia="ru-RU" w:bidi="ru-RU"/>
        </w:rPr>
        <w:t>ВВЕДЕНИЕ</w:t>
      </w:r>
      <w:r w:rsidRPr="007C4F91">
        <w:rPr>
          <w:rFonts w:ascii="Times New Roman" w:eastAsia="Times New Roman" w:hAnsi="Times New Roman" w:cs="Times New Roman"/>
          <w:color w:val="000000"/>
          <w:kern w:val="0"/>
          <w:sz w:val="26"/>
          <w:szCs w:val="26"/>
          <w:lang w:eastAsia="ru-RU" w:bidi="ru-RU"/>
        </w:rPr>
        <w:tab/>
        <w:t>3</w:t>
      </w:r>
    </w:p>
    <w:p w:rsidR="007C4F91" w:rsidRPr="007C4F91" w:rsidRDefault="007C4F91" w:rsidP="007C4F91">
      <w:pPr>
        <w:tabs>
          <w:tab w:val="clear" w:pos="709"/>
          <w:tab w:val="left" w:pos="2775"/>
          <w:tab w:val="left" w:pos="6354"/>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ГЛАВА 1. ТЕОРЕТИКО-МЕТОДОЛОГИЧЕСКИЕ ПОДХОДЫ К РОЛИ И ЗНАЧЕНИЮ</w:t>
      </w:r>
      <w:r w:rsidRPr="007C4F91">
        <w:rPr>
          <w:rFonts w:ascii="Times New Roman" w:eastAsia="Times New Roman" w:hAnsi="Times New Roman" w:cs="Times New Roman"/>
          <w:color w:val="000000"/>
          <w:kern w:val="0"/>
          <w:sz w:val="26"/>
          <w:szCs w:val="26"/>
          <w:lang w:eastAsia="ru-RU" w:bidi="ru-RU"/>
        </w:rPr>
        <w:tab/>
        <w:t>ОФИЦИАЛЬНОГО</w:t>
      </w:r>
      <w:r w:rsidRPr="007C4F91">
        <w:rPr>
          <w:rFonts w:ascii="Times New Roman" w:eastAsia="Times New Roman" w:hAnsi="Times New Roman" w:cs="Times New Roman"/>
          <w:color w:val="000000"/>
          <w:kern w:val="0"/>
          <w:sz w:val="26"/>
          <w:szCs w:val="26"/>
          <w:lang w:eastAsia="ru-RU" w:bidi="ru-RU"/>
        </w:rPr>
        <w:tab/>
        <w:t>МНОГОСТОРОННЕГО</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ФИНАНСИРОВАНИЯ</w:t>
      </w:r>
      <w:r w:rsidRPr="007C4F91">
        <w:rPr>
          <w:rFonts w:ascii="Times New Roman" w:eastAsia="Times New Roman" w:hAnsi="Times New Roman" w:cs="Times New Roman"/>
          <w:color w:val="000000"/>
          <w:kern w:val="0"/>
          <w:sz w:val="26"/>
          <w:szCs w:val="26"/>
          <w:lang w:eastAsia="ru-RU" w:bidi="ru-RU"/>
        </w:rPr>
        <w:tab/>
        <w:t>9</w:t>
      </w:r>
    </w:p>
    <w:p w:rsidR="007C4F91" w:rsidRPr="007C4F91" w:rsidRDefault="007C4F91" w:rsidP="007C4F91">
      <w:pPr>
        <w:numPr>
          <w:ilvl w:val="0"/>
          <w:numId w:val="39"/>
        </w:numPr>
        <w:tabs>
          <w:tab w:val="clear" w:pos="709"/>
          <w:tab w:val="left" w:pos="522"/>
          <w:tab w:val="right" w:leader="dot" w:pos="933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Эволюция теорий помощи развитию</w:t>
      </w:r>
      <w:r w:rsidRPr="007C4F91">
        <w:rPr>
          <w:rFonts w:ascii="Times New Roman" w:eastAsia="Times New Roman" w:hAnsi="Times New Roman" w:cs="Times New Roman"/>
          <w:color w:val="000000"/>
          <w:kern w:val="0"/>
          <w:sz w:val="26"/>
          <w:szCs w:val="26"/>
          <w:lang w:eastAsia="ru-RU" w:bidi="ru-RU"/>
        </w:rPr>
        <w:tab/>
        <w:t>9</w:t>
      </w:r>
    </w:p>
    <w:p w:rsidR="007C4F91" w:rsidRPr="007C4F91" w:rsidRDefault="007C4F91" w:rsidP="007C4F91">
      <w:pPr>
        <w:numPr>
          <w:ilvl w:val="0"/>
          <w:numId w:val="39"/>
        </w:numPr>
        <w:tabs>
          <w:tab w:val="clear" w:pos="709"/>
          <w:tab w:val="left" w:pos="522"/>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Роль международных финансовых организаций в разработке и реализации</w:t>
      </w:r>
    </w:p>
    <w:p w:rsidR="007C4F91" w:rsidRPr="007C4F91" w:rsidRDefault="007C4F91" w:rsidP="007C4F91">
      <w:pPr>
        <w:tabs>
          <w:tab w:val="clear" w:pos="709"/>
          <w:tab w:val="left" w:leader="dot" w:pos="907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концепции официального финансирования</w:t>
      </w:r>
      <w:r w:rsidRPr="007C4F91">
        <w:rPr>
          <w:rFonts w:ascii="Times New Roman" w:eastAsia="Times New Roman" w:hAnsi="Times New Roman" w:cs="Times New Roman"/>
          <w:color w:val="000000"/>
          <w:kern w:val="0"/>
          <w:sz w:val="26"/>
          <w:szCs w:val="26"/>
          <w:lang w:eastAsia="ru-RU" w:bidi="ru-RU"/>
        </w:rPr>
        <w:tab/>
        <w:t>19</w:t>
      </w:r>
    </w:p>
    <w:p w:rsidR="007C4F91" w:rsidRPr="007C4F91" w:rsidRDefault="007C4F91" w:rsidP="007C4F91">
      <w:pPr>
        <w:numPr>
          <w:ilvl w:val="0"/>
          <w:numId w:val="39"/>
        </w:numPr>
        <w:tabs>
          <w:tab w:val="clear" w:pos="709"/>
          <w:tab w:val="left" w:pos="59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Место региональных банков развития в системе официального</w:t>
      </w:r>
    </w:p>
    <w:p w:rsidR="007C4F91" w:rsidRPr="007C4F91" w:rsidRDefault="007C4F91" w:rsidP="007C4F91">
      <w:pPr>
        <w:tabs>
          <w:tab w:val="clear" w:pos="709"/>
          <w:tab w:val="left" w:leader="dot" w:pos="907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многостороннего финансирования</w:t>
      </w:r>
      <w:r w:rsidRPr="007C4F91">
        <w:rPr>
          <w:rFonts w:ascii="Times New Roman" w:eastAsia="Times New Roman" w:hAnsi="Times New Roman" w:cs="Times New Roman"/>
          <w:color w:val="000000"/>
          <w:kern w:val="0"/>
          <w:sz w:val="26"/>
          <w:szCs w:val="26"/>
          <w:lang w:eastAsia="ru-RU" w:bidi="ru-RU"/>
        </w:rPr>
        <w:tab/>
        <w:t>26</w:t>
      </w:r>
    </w:p>
    <w:p w:rsidR="007C4F91" w:rsidRPr="007C4F91" w:rsidRDefault="007C4F91" w:rsidP="007C4F91">
      <w:pPr>
        <w:numPr>
          <w:ilvl w:val="0"/>
          <w:numId w:val="39"/>
        </w:numPr>
        <w:tabs>
          <w:tab w:val="clear" w:pos="709"/>
          <w:tab w:val="left" w:pos="59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Современные подходы к реформированию системы официального</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многостороннего финансирования</w:t>
      </w:r>
      <w:r w:rsidRPr="007C4F91">
        <w:rPr>
          <w:rFonts w:ascii="Times New Roman" w:eastAsia="Times New Roman" w:hAnsi="Times New Roman" w:cs="Times New Roman"/>
          <w:color w:val="000000"/>
          <w:kern w:val="0"/>
          <w:sz w:val="26"/>
          <w:szCs w:val="26"/>
          <w:lang w:eastAsia="ru-RU" w:bidi="ru-RU"/>
        </w:rPr>
        <w:tab/>
        <w:t>31</w:t>
      </w:r>
    </w:p>
    <w:p w:rsidR="007C4F91" w:rsidRPr="007C4F91" w:rsidRDefault="007C4F91" w:rsidP="007C4F91">
      <w:pPr>
        <w:tabs>
          <w:tab w:val="clear" w:pos="709"/>
          <w:tab w:val="left" w:pos="5691"/>
          <w:tab w:val="left" w:pos="8343"/>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ГАЛАВА 2 ВЛИЯНИЕ ОФИЦИАЛЬНОГО МНОГОСТОРОННЕГО ФИНАНСИРОВАНИЯ НА ЭКОНОМИЧЕСКОЕ РАЗВИТИЕ И СОЦИАЛЬНО-ЭКОНОМИЧЕСКУЮ</w:t>
      </w:r>
      <w:r w:rsidRPr="007C4F91">
        <w:rPr>
          <w:rFonts w:ascii="Times New Roman" w:eastAsia="Times New Roman" w:hAnsi="Times New Roman" w:cs="Times New Roman"/>
          <w:color w:val="000000"/>
          <w:kern w:val="0"/>
          <w:sz w:val="26"/>
          <w:szCs w:val="26"/>
          <w:lang w:eastAsia="ru-RU" w:bidi="ru-RU"/>
        </w:rPr>
        <w:tab/>
        <w:t>ПОЛИТИКУ</w:t>
      </w:r>
      <w:r w:rsidRPr="007C4F91">
        <w:rPr>
          <w:rFonts w:ascii="Times New Roman" w:eastAsia="Times New Roman" w:hAnsi="Times New Roman" w:cs="Times New Roman"/>
          <w:color w:val="000000"/>
          <w:kern w:val="0"/>
          <w:sz w:val="26"/>
          <w:szCs w:val="26"/>
          <w:lang w:eastAsia="ru-RU" w:bidi="ru-RU"/>
        </w:rPr>
        <w:tab/>
        <w:t>СТРАН-</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 xml:space="preserve">РЕЦИПИЕНТОВ </w:t>
      </w:r>
      <w:r w:rsidRPr="007C4F91">
        <w:rPr>
          <w:rFonts w:ascii="Times New Roman" w:eastAsia="Times New Roman" w:hAnsi="Times New Roman" w:cs="Times New Roman"/>
          <w:color w:val="000000"/>
          <w:kern w:val="0"/>
          <w:sz w:val="26"/>
          <w:szCs w:val="26"/>
          <w:lang w:eastAsia="ru-RU" w:bidi="ru-RU"/>
        </w:rPr>
        <w:tab/>
        <w:t>41</w:t>
      </w:r>
    </w:p>
    <w:p w:rsidR="007C4F91" w:rsidRPr="007C4F91" w:rsidRDefault="007C4F91" w:rsidP="007C4F91">
      <w:pPr>
        <w:numPr>
          <w:ilvl w:val="0"/>
          <w:numId w:val="40"/>
        </w:numPr>
        <w:tabs>
          <w:tab w:val="clear" w:pos="709"/>
          <w:tab w:val="left" w:pos="59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Роль официального многостороннего финансирования в модели</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импортозамещения развивающихся стран</w:t>
      </w:r>
      <w:r w:rsidRPr="007C4F91">
        <w:rPr>
          <w:rFonts w:ascii="Times New Roman" w:eastAsia="Times New Roman" w:hAnsi="Times New Roman" w:cs="Times New Roman"/>
          <w:color w:val="000000"/>
          <w:kern w:val="0"/>
          <w:sz w:val="26"/>
          <w:szCs w:val="26"/>
          <w:lang w:eastAsia="ru-RU" w:bidi="ru-RU"/>
        </w:rPr>
        <w:tab/>
        <w:t>42</w:t>
      </w:r>
    </w:p>
    <w:p w:rsidR="007C4F91" w:rsidRPr="007C4F91" w:rsidRDefault="007C4F91" w:rsidP="007C4F91">
      <w:pPr>
        <w:numPr>
          <w:ilvl w:val="0"/>
          <w:numId w:val="40"/>
        </w:numPr>
        <w:tabs>
          <w:tab w:val="clear" w:pos="709"/>
          <w:tab w:val="left" w:pos="59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Роль официального многостороннего финансирования в концепции</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ориентации национальной экономики на внешние связи: азиатский и латиноамериканский варианты</w:t>
      </w:r>
      <w:r w:rsidRPr="007C4F91">
        <w:rPr>
          <w:rFonts w:ascii="Times New Roman" w:eastAsia="Times New Roman" w:hAnsi="Times New Roman" w:cs="Times New Roman"/>
          <w:color w:val="000000"/>
          <w:kern w:val="0"/>
          <w:sz w:val="26"/>
          <w:szCs w:val="26"/>
          <w:lang w:eastAsia="ru-RU" w:bidi="ru-RU"/>
        </w:rPr>
        <w:tab/>
        <w:t>48</w:t>
      </w:r>
    </w:p>
    <w:p w:rsidR="007C4F91" w:rsidRPr="007C4F91" w:rsidRDefault="007C4F91" w:rsidP="007C4F91">
      <w:pPr>
        <w:numPr>
          <w:ilvl w:val="0"/>
          <w:numId w:val="40"/>
        </w:numPr>
        <w:tabs>
          <w:tab w:val="clear" w:pos="709"/>
          <w:tab w:val="left" w:pos="59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Программы структурной адаптации и финансовой либерализации</w:t>
      </w:r>
    </w:p>
    <w:p w:rsidR="007C4F91" w:rsidRPr="007C4F91" w:rsidRDefault="007C4F91" w:rsidP="007C4F91">
      <w:pPr>
        <w:tabs>
          <w:tab w:val="clear" w:pos="709"/>
          <w:tab w:val="left" w:leader="dot" w:pos="907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экономики на примере стран Латинской Америки и их эффективность</w:t>
      </w:r>
      <w:r w:rsidRPr="007C4F91">
        <w:rPr>
          <w:rFonts w:ascii="Times New Roman" w:eastAsia="Times New Roman" w:hAnsi="Times New Roman" w:cs="Times New Roman"/>
          <w:color w:val="000000"/>
          <w:kern w:val="0"/>
          <w:sz w:val="26"/>
          <w:szCs w:val="26"/>
          <w:lang w:eastAsia="ru-RU" w:bidi="ru-RU"/>
        </w:rPr>
        <w:tab/>
        <w:t>62</w:t>
      </w:r>
    </w:p>
    <w:p w:rsidR="007C4F91" w:rsidRPr="007C4F91" w:rsidRDefault="007C4F91" w:rsidP="007C4F91">
      <w:pPr>
        <w:numPr>
          <w:ilvl w:val="0"/>
          <w:numId w:val="40"/>
        </w:numPr>
        <w:tabs>
          <w:tab w:val="clear" w:pos="709"/>
          <w:tab w:val="left" w:pos="522"/>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Международный финансовый кризис 1997 года. Азиатский вариант</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неолиберальных реформ</w:t>
      </w:r>
      <w:r w:rsidRPr="007C4F91">
        <w:rPr>
          <w:rFonts w:ascii="Times New Roman" w:eastAsia="Times New Roman" w:hAnsi="Times New Roman" w:cs="Times New Roman"/>
          <w:color w:val="000000"/>
          <w:kern w:val="0"/>
          <w:sz w:val="26"/>
          <w:szCs w:val="26"/>
          <w:lang w:eastAsia="ru-RU" w:bidi="ru-RU"/>
        </w:rPr>
        <w:tab/>
        <w:t>83</w:t>
      </w:r>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hyperlink w:anchor="bookmark10" w:tooltip="Current Document">
        <w:r w:rsidRPr="007C4F91">
          <w:rPr>
            <w:rFonts w:ascii="Times New Roman" w:eastAsia="Times New Roman" w:hAnsi="Times New Roman" w:cs="Times New Roman"/>
            <w:color w:val="000000"/>
            <w:kern w:val="0"/>
            <w:sz w:val="26"/>
            <w:szCs w:val="26"/>
            <w:lang w:eastAsia="ru-RU" w:bidi="ru-RU"/>
          </w:rPr>
          <w:t>ГЛАВА 3. РОССИЯ В СИСТЕМЕ ОФИЦИАЛЬНОГО МНОГОСТОРОННЕГО ФИНАНСИРОВАНИЯ</w:t>
        </w:r>
        <w:r w:rsidRPr="007C4F91">
          <w:rPr>
            <w:rFonts w:ascii="Times New Roman" w:eastAsia="Times New Roman" w:hAnsi="Times New Roman" w:cs="Times New Roman"/>
            <w:color w:val="000000"/>
            <w:kern w:val="0"/>
            <w:sz w:val="26"/>
            <w:szCs w:val="26"/>
            <w:lang w:eastAsia="ru-RU" w:bidi="ru-RU"/>
          </w:rPr>
          <w:tab/>
          <w:t>96</w:t>
        </w:r>
      </w:hyperlink>
    </w:p>
    <w:p w:rsidR="007C4F91" w:rsidRPr="007C4F91" w:rsidRDefault="007C4F91" w:rsidP="007C4F91">
      <w:pPr>
        <w:tabs>
          <w:tab w:val="clear" w:pos="709"/>
          <w:tab w:val="right" w:leader="dot" w:pos="933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hyperlink w:anchor="bookmark11" w:tooltip="Current Document">
        <w:r w:rsidRPr="007C4F91">
          <w:rPr>
            <w:rFonts w:ascii="Times New Roman" w:eastAsia="Times New Roman" w:hAnsi="Times New Roman" w:cs="Times New Roman"/>
            <w:color w:val="000000"/>
            <w:kern w:val="0"/>
            <w:sz w:val="26"/>
            <w:szCs w:val="26"/>
            <w:lang w:eastAsia="ru-RU" w:bidi="ru-RU"/>
          </w:rPr>
          <w:t>3.1 Роль официального многостороннего финансирования в формировании экономической политики России</w:t>
        </w:r>
        <w:r w:rsidRPr="007C4F91">
          <w:rPr>
            <w:rFonts w:ascii="Times New Roman" w:eastAsia="Times New Roman" w:hAnsi="Times New Roman" w:cs="Times New Roman"/>
            <w:color w:val="000000"/>
            <w:kern w:val="0"/>
            <w:sz w:val="26"/>
            <w:szCs w:val="26"/>
            <w:lang w:eastAsia="ru-RU" w:bidi="ru-RU"/>
          </w:rPr>
          <w:tab/>
          <w:t>96</w:t>
        </w:r>
      </w:hyperlink>
      <w:r w:rsidRPr="007C4F91">
        <w:rPr>
          <w:rFonts w:ascii="Times New Roman" w:eastAsia="Times New Roman" w:hAnsi="Times New Roman" w:cs="Times New Roman"/>
          <w:color w:val="000000"/>
          <w:kern w:val="0"/>
          <w:sz w:val="26"/>
          <w:szCs w:val="26"/>
          <w:lang w:eastAsia="ru-RU" w:bidi="ru-RU"/>
        </w:rPr>
        <w:fldChar w:fldCharType="end"/>
      </w:r>
    </w:p>
    <w:p w:rsidR="007C4F91" w:rsidRPr="007C4F91" w:rsidRDefault="007C4F91" w:rsidP="007C4F91">
      <w:pPr>
        <w:tabs>
          <w:tab w:val="clear" w:pos="709"/>
        </w:tabs>
        <w:suppressAutoHyphens w:val="0"/>
        <w:spacing w:after="0" w:line="462" w:lineRule="exact"/>
        <w:ind w:firstLine="0"/>
        <w:jc w:val="righ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val="uk-UA" w:eastAsia="uk-UA" w:bidi="uk-UA"/>
        </w:rPr>
        <w:t>з</w:t>
      </w:r>
    </w:p>
    <w:p w:rsidR="007C4F91" w:rsidRPr="007C4F91" w:rsidRDefault="007C4F91" w:rsidP="007C4F91">
      <w:pPr>
        <w:numPr>
          <w:ilvl w:val="0"/>
          <w:numId w:val="41"/>
        </w:numPr>
        <w:tabs>
          <w:tab w:val="clear" w:pos="709"/>
          <w:tab w:val="left" w:pos="608"/>
          <w:tab w:val="center" w:pos="5202"/>
          <w:tab w:val="center" w:pos="5646"/>
        </w:tabs>
        <w:suppressAutoHyphens w:val="0"/>
        <w:spacing w:after="0" w:line="462"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Анализ взаимодействия России</w:t>
      </w:r>
      <w:r w:rsidRPr="007C4F91">
        <w:rPr>
          <w:rFonts w:ascii="Times New Roman" w:eastAsia="Times New Roman" w:hAnsi="Times New Roman" w:cs="Times New Roman"/>
          <w:color w:val="000000"/>
          <w:kern w:val="0"/>
          <w:sz w:val="26"/>
          <w:szCs w:val="26"/>
          <w:lang w:eastAsia="ru-RU" w:bidi="ru-RU"/>
        </w:rPr>
        <w:tab/>
        <w:t>и</w:t>
      </w:r>
      <w:r w:rsidRPr="007C4F91">
        <w:rPr>
          <w:rFonts w:ascii="Times New Roman" w:eastAsia="Times New Roman" w:hAnsi="Times New Roman" w:cs="Times New Roman"/>
          <w:color w:val="000000"/>
          <w:kern w:val="0"/>
          <w:sz w:val="26"/>
          <w:szCs w:val="26"/>
          <w:lang w:eastAsia="ru-RU" w:bidi="ru-RU"/>
        </w:rPr>
        <w:tab/>
        <w:t>международных экономических</w:t>
      </w:r>
    </w:p>
    <w:p w:rsidR="007C4F91" w:rsidRPr="007C4F91" w:rsidRDefault="007C4F91" w:rsidP="007C4F91">
      <w:pPr>
        <w:tabs>
          <w:tab w:val="clear" w:pos="709"/>
          <w:tab w:val="right" w:leader="dot" w:pos="9373"/>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fldChar w:fldCharType="begin"/>
      </w:r>
      <w:r w:rsidRPr="007C4F91">
        <w:rPr>
          <w:rFonts w:ascii="Times New Roman" w:eastAsia="Times New Roman" w:hAnsi="Times New Roman" w:cs="Times New Roman"/>
          <w:color w:val="000000"/>
          <w:kern w:val="0"/>
          <w:sz w:val="26"/>
          <w:szCs w:val="26"/>
          <w:lang w:eastAsia="ru-RU" w:bidi="ru-RU"/>
        </w:rPr>
        <w:instrText xml:space="preserve"> TOC \o "1-5" \h \z </w:instrText>
      </w:r>
      <w:r w:rsidRPr="007C4F91">
        <w:rPr>
          <w:rFonts w:ascii="Times New Roman" w:eastAsia="Times New Roman" w:hAnsi="Times New Roman" w:cs="Times New Roman"/>
          <w:color w:val="000000"/>
          <w:kern w:val="0"/>
          <w:sz w:val="26"/>
          <w:szCs w:val="26"/>
          <w:lang w:eastAsia="ru-RU" w:bidi="ru-RU"/>
        </w:rPr>
        <w:fldChar w:fldCharType="separate"/>
      </w:r>
      <w:r w:rsidRPr="007C4F91">
        <w:rPr>
          <w:rFonts w:ascii="Times New Roman" w:eastAsia="Times New Roman" w:hAnsi="Times New Roman" w:cs="Times New Roman"/>
          <w:color w:val="000000"/>
          <w:kern w:val="0"/>
          <w:sz w:val="26"/>
          <w:szCs w:val="26"/>
          <w:lang w:eastAsia="ru-RU" w:bidi="ru-RU"/>
        </w:rPr>
        <w:t>организаций после 17 августа 1998 года</w:t>
      </w:r>
      <w:r w:rsidRPr="007C4F91">
        <w:rPr>
          <w:rFonts w:ascii="Times New Roman" w:eastAsia="Times New Roman" w:hAnsi="Times New Roman" w:cs="Times New Roman"/>
          <w:color w:val="000000"/>
          <w:kern w:val="0"/>
          <w:sz w:val="26"/>
          <w:szCs w:val="26"/>
          <w:lang w:eastAsia="ru-RU" w:bidi="ru-RU"/>
        </w:rPr>
        <w:tab/>
        <w:t>107</w:t>
      </w:r>
    </w:p>
    <w:p w:rsidR="007C4F91" w:rsidRPr="007C4F91" w:rsidRDefault="007C4F91" w:rsidP="007C4F91">
      <w:pPr>
        <w:numPr>
          <w:ilvl w:val="0"/>
          <w:numId w:val="41"/>
        </w:numPr>
        <w:tabs>
          <w:tab w:val="clear" w:pos="709"/>
          <w:tab w:val="left" w:pos="525"/>
          <w:tab w:val="right" w:leader="dot" w:pos="9373"/>
        </w:tabs>
        <w:suppressAutoHyphens w:val="0"/>
        <w:spacing w:after="0" w:line="462"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7C4F91">
          <w:rPr>
            <w:rFonts w:ascii="Times New Roman" w:eastAsia="Times New Roman" w:hAnsi="Times New Roman" w:cs="Times New Roman"/>
            <w:color w:val="000000"/>
            <w:kern w:val="0"/>
            <w:sz w:val="26"/>
            <w:szCs w:val="26"/>
            <w:lang w:eastAsia="ru-RU" w:bidi="ru-RU"/>
          </w:rPr>
          <w:t>Социально-экономические результаты реформ</w:t>
        </w:r>
        <w:r w:rsidRPr="007C4F91">
          <w:rPr>
            <w:rFonts w:ascii="Times New Roman" w:eastAsia="Times New Roman" w:hAnsi="Times New Roman" w:cs="Times New Roman"/>
            <w:color w:val="000000"/>
            <w:kern w:val="0"/>
            <w:sz w:val="26"/>
            <w:szCs w:val="26"/>
            <w:lang w:eastAsia="ru-RU" w:bidi="ru-RU"/>
          </w:rPr>
          <w:tab/>
          <w:t>118</w:t>
        </w:r>
      </w:hyperlink>
    </w:p>
    <w:p w:rsidR="007C4F91" w:rsidRPr="007C4F91" w:rsidRDefault="007C4F91" w:rsidP="007C4F91">
      <w:pPr>
        <w:tabs>
          <w:tab w:val="clear" w:pos="709"/>
          <w:tab w:val="right" w:leader="dot" w:pos="9373"/>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hyperlink w:anchor="bookmark15" w:tooltip="Current Document">
        <w:r w:rsidRPr="007C4F91">
          <w:rPr>
            <w:rFonts w:ascii="Times New Roman" w:eastAsia="Times New Roman" w:hAnsi="Times New Roman" w:cs="Times New Roman"/>
            <w:color w:val="000000"/>
            <w:kern w:val="0"/>
            <w:sz w:val="26"/>
            <w:szCs w:val="26"/>
            <w:lang w:eastAsia="ru-RU" w:bidi="ru-RU"/>
          </w:rPr>
          <w:t>ЗАКЛЮЧЕНИЕ</w:t>
        </w:r>
        <w:r w:rsidRPr="007C4F91">
          <w:rPr>
            <w:rFonts w:ascii="Times New Roman" w:eastAsia="Times New Roman" w:hAnsi="Times New Roman" w:cs="Times New Roman"/>
            <w:color w:val="000000"/>
            <w:kern w:val="0"/>
            <w:sz w:val="26"/>
            <w:szCs w:val="26"/>
            <w:lang w:eastAsia="ru-RU" w:bidi="ru-RU"/>
          </w:rPr>
          <w:tab/>
          <w:t>141</w:t>
        </w:r>
      </w:hyperlink>
    </w:p>
    <w:p w:rsidR="007C4F91" w:rsidRPr="007C4F91" w:rsidRDefault="007C4F91" w:rsidP="007C4F91">
      <w:pPr>
        <w:tabs>
          <w:tab w:val="clear" w:pos="709"/>
          <w:tab w:val="right" w:leader="dot" w:pos="9373"/>
        </w:tabs>
        <w:suppressAutoHyphens w:val="0"/>
        <w:spacing w:after="117" w:line="260"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ЛИТЕРАТУРА</w:t>
      </w:r>
      <w:r w:rsidRPr="007C4F91">
        <w:rPr>
          <w:rFonts w:ascii="Times New Roman" w:eastAsia="Times New Roman" w:hAnsi="Times New Roman" w:cs="Times New Roman"/>
          <w:color w:val="000000"/>
          <w:kern w:val="0"/>
          <w:sz w:val="26"/>
          <w:szCs w:val="26"/>
          <w:lang w:eastAsia="ru-RU" w:bidi="ru-RU"/>
        </w:rPr>
        <w:tab/>
        <w:t>145</w:t>
      </w:r>
    </w:p>
    <w:p w:rsidR="007C4F91" w:rsidRPr="007C4F91" w:rsidRDefault="007C4F91" w:rsidP="007C4F91">
      <w:pPr>
        <w:tabs>
          <w:tab w:val="clear" w:pos="709"/>
          <w:tab w:val="right" w:leader="dot" w:pos="9373"/>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7C4F91" w:rsidRPr="007C4F91" w:rsidSect="007C4F91">
          <w:headerReference w:type="even" r:id="rId8"/>
          <w:type w:val="continuous"/>
          <w:pgSz w:w="12240" w:h="15840"/>
          <w:pgMar w:top="411" w:right="874" w:bottom="1068" w:left="1693" w:header="0" w:footer="3" w:gutter="0"/>
          <w:cols w:space="720"/>
          <w:noEndnote/>
          <w:docGrid w:linePitch="360"/>
        </w:sectPr>
      </w:pPr>
      <w:hyperlink w:anchor="bookmark16" w:tooltip="Current Document">
        <w:r w:rsidRPr="007C4F91">
          <w:rPr>
            <w:rFonts w:ascii="Times New Roman" w:eastAsia="Times New Roman" w:hAnsi="Times New Roman" w:cs="Times New Roman"/>
            <w:color w:val="000000"/>
            <w:kern w:val="0"/>
            <w:sz w:val="26"/>
            <w:szCs w:val="26"/>
            <w:lang w:eastAsia="ru-RU" w:bidi="ru-RU"/>
          </w:rPr>
          <w:t>ПРИЛОЖЕНИЯ</w:t>
        </w:r>
        <w:r w:rsidRPr="007C4F91">
          <w:rPr>
            <w:rFonts w:ascii="Times New Roman" w:eastAsia="Times New Roman" w:hAnsi="Times New Roman" w:cs="Times New Roman"/>
            <w:color w:val="000000"/>
            <w:kern w:val="0"/>
            <w:sz w:val="26"/>
            <w:szCs w:val="26"/>
            <w:lang w:eastAsia="ru-RU" w:bidi="ru-RU"/>
          </w:rPr>
          <w:tab/>
          <w:t>163</w:t>
        </w:r>
      </w:hyperlink>
      <w:r w:rsidRPr="007C4F91">
        <w:rPr>
          <w:rFonts w:ascii="Times New Roman" w:eastAsia="Times New Roman" w:hAnsi="Times New Roman" w:cs="Times New Roman"/>
          <w:color w:val="000000"/>
          <w:kern w:val="0"/>
          <w:sz w:val="26"/>
          <w:szCs w:val="26"/>
          <w:lang w:eastAsia="ru-RU" w:bidi="ru-RU"/>
        </w:rPr>
        <w:fldChar w:fldCharType="end"/>
      </w:r>
    </w:p>
    <w:p w:rsidR="007C4F91" w:rsidRPr="007C4F91" w:rsidRDefault="007C4F91" w:rsidP="007C4F91">
      <w:pPr>
        <w:tabs>
          <w:tab w:val="clear" w:pos="70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ВВЕДЕНИЕ</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 xml:space="preserve">Актуальность темы. Сегодня нельзя рассматривать проблемы национального развития вне сложного и противоречивого взаимодействия комплекса глобальных и локальных факторов. Повышение интенсивности преобразовательных процессов в центрах мирового хозяйства </w:t>
      </w:r>
      <w:r w:rsidRPr="007C4F91">
        <w:rPr>
          <w:rFonts w:ascii="Times New Roman" w:eastAsia="Times New Roman" w:hAnsi="Times New Roman" w:cs="Times New Roman"/>
          <w:color w:val="000000"/>
          <w:kern w:val="0"/>
          <w:sz w:val="26"/>
          <w:szCs w:val="26"/>
          <w:lang w:eastAsia="en-US" w:bidi="en-US"/>
        </w:rPr>
        <w:t>(</w:t>
      </w:r>
      <w:r w:rsidRPr="007C4F91">
        <w:rPr>
          <w:rFonts w:ascii="Times New Roman" w:eastAsia="Times New Roman" w:hAnsi="Times New Roman" w:cs="Times New Roman"/>
          <w:color w:val="000000"/>
          <w:kern w:val="0"/>
          <w:sz w:val="26"/>
          <w:szCs w:val="26"/>
          <w:lang w:val="en-US" w:eastAsia="en-US" w:bidi="en-US"/>
        </w:rPr>
        <w:t>MX</w:t>
      </w:r>
      <w:r w:rsidRPr="007C4F91">
        <w:rPr>
          <w:rFonts w:ascii="Times New Roman" w:eastAsia="Times New Roman" w:hAnsi="Times New Roman" w:cs="Times New Roman"/>
          <w:color w:val="000000"/>
          <w:kern w:val="0"/>
          <w:sz w:val="26"/>
          <w:szCs w:val="26"/>
          <w:lang w:eastAsia="en-US" w:bidi="en-US"/>
        </w:rPr>
        <w:t xml:space="preserve">), </w:t>
      </w:r>
      <w:r w:rsidRPr="007C4F91">
        <w:rPr>
          <w:rFonts w:ascii="Times New Roman" w:eastAsia="Times New Roman" w:hAnsi="Times New Roman" w:cs="Times New Roman"/>
          <w:color w:val="000000"/>
          <w:kern w:val="0"/>
          <w:sz w:val="26"/>
          <w:szCs w:val="26"/>
          <w:lang w:eastAsia="ru-RU" w:bidi="ru-RU"/>
        </w:rPr>
        <w:t>достигшая огромного космополитического размаха деятельность ТНК и ТНБ, стремительное распространение по всему свету новейших информационных технологий - все это стимулирует развертывание процесса мирохозяйственной глобализации.</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Этому сопутствуют далеко неоднозначные тенденции периферийного развития. Интеграция верхнего эшелона развивающихся стран в мировое хозяйство все заметнее опирается на рыночный кредит и частные инвестиции. В тоже время она мало или почти не затрагивает солидный массив отстающих стран. Ограниченные внутренние источники накопления и повышенная зависимость инвестиционного процесса и сферы потребления от иностранной помощи и по сей день остаются характерными чертами их экономики. Дестабилизация хозяйственного развития и усиление там социальной напряженности чревато опасностью серьезных нарушений экономических и политических отношений на региональных участках мирового хозяйства. Это побуждает сообщество ведущих стран-доноров прибегать к внедрению в практику международного сотрудничества арсенала приемов, способных самортизировать нарастание трудностей модернизации национального развития, и что самое важное - предотвратить угрозу маргинализации эшелона беднейших стран. Ставка делается главным образом на методы и формы государственного финансирования. Причем все более явное предпочтение отдается механизму официального многостороннего финансирования (ОМФ) и, прежде всего — повышению роли международных финансовых организаций (МФО). Меняется замешанная на монетаристской идеологии, политика Международного валютного фонда (МВФ). Гораздо разнообразнее становится деятельность группы Мирового банка (МБ). Разворачивает свои операции в странах с переходной экономикой Европейский банк реконструкции и развития (ЕБРР). Немалый опыт кредитно-финансовой деятельности накопили Межамериканский банк развития (МаБР), Азиатский банк развития (АзБР) и другие.</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Помимо своей основной функции - верховного регулятора мировой валютной системы - МВФ (в партнерстве с МБ) выступает инициатором рыночных реформ. В том же русле эволюционирует и стратегия МБ.</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В соответствии с решением «большой восьмерки» на МВФ и МБ возлагаются обязанности глобального содействия развитию, участие в реструктуризации внешних долгов, надзор за потоками частного капитала. На передний край выдвигается функция разрядки потенциала валютно</w:t>
      </w:r>
      <w:r w:rsidRPr="007C4F91">
        <w:rPr>
          <w:rFonts w:ascii="Times New Roman" w:eastAsia="Times New Roman" w:hAnsi="Times New Roman" w:cs="Times New Roman"/>
          <w:color w:val="000000"/>
          <w:kern w:val="0"/>
          <w:sz w:val="26"/>
          <w:szCs w:val="26"/>
          <w:lang w:eastAsia="ru-RU" w:bidi="ru-RU"/>
        </w:rPr>
        <w:softHyphen/>
        <w:t>финансовых кризисов (Латинская Америка, Восточная Азия, Россия). МВФ и МБ стремятся учесть «уроки истории» и предотвратить усиление конфронтации со стороны развивающихся стран. Сформирована группа из 20 стран, представителям которой поручено разработать более приемлемый для большинства государств - заемщиков вариант концепции международного содействия развитию.</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Наконец, России необходимо определить стратегию и тактику взаимодействия с международными финансовыми организациями на относительно долгосрочную перспективу.</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Все вышесказанное свидетельствует об актуальности дальнейшего изучения эволюции официального многостороннего финансирования, в том числе особенностей его влияния на экономическую политику развивающихся стран, а также государств с переходной экономикой (Россия и др.).</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Степень разработанности проблемы. Тенденции развития международного финансово-экономического сотрудничества находятся под пристальным наблюдением российских ученых. Особо отметим публикации Р. Авакова, А. Астаповича, А. Бобровникова, Б. Болотина, Е. Брагиной, С. Былиняка, С. Глазьева, М. Голанского, Н. Гусакова, В. Давыдова, М. Делягина, С. Динкевича, И. Доронина, Б. Дякина, Н. Зотовой, Н. Карагодина, Л.</w:t>
      </w:r>
    </w:p>
    <w:p w:rsidR="007C4F91" w:rsidRPr="007C4F91" w:rsidRDefault="007C4F91" w:rsidP="007C4F91">
      <w:pPr>
        <w:tabs>
          <w:tab w:val="clear" w:pos="70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Красавиной, В. Кузнецова, Л. Клочковского, С. Лобанцевой, Ю. Осипова, Ю. Попова, К. Ремчукова, 3. Романова, Б. Рунова, Д. Смыслова, С. Солодовникова, В. Станиса, В. Тепермана, А. Чехутова, В. Шейниса, А. Шереметьева, Г. Широкова, Н. Школяра, Н. Шмелева, Л. Федякиной, А. Эльянова, Г. Явлинского, В. Яшкина и других.</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Среди зарубежных изданий выделим труды Дж. М. Кейнса, Р. Харрода, Е. Домара, П. Розенштейн-Родана, X. Ченери, А. Страута, К. Гриффина, М. Фридмана, Дж. Сакса, Т. Киллика, Р. Грина, М. Тодоро, П. Кругмана, Дж. Вильямсона, Г. Стиглица а также А. Аргуэлло, И. Гарсия, X. Пинго, Ф. Сагасти.</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 xml:space="preserve">Жизнь, однако, не стоит на месте. Ведутся оживленные дискуссии вокруг политики МВФ и МБ. Под влиянием критики меняются акценты и вносятся поправки в режим финансовой деятельности международных финансовых организаций. Все слышнее звучат голоса, призывающие упорядочить процесс глобализации и не допустить вымывания глубоко отставших стран с мирового рынка. На этом фоне особую злободневность приобретают вопросы совершенствования взаимодействия международных финансовых организаций со странами Азии, Африки и Латинской Америки, с постсоциалистическими государствами. Исходя из этого ключевого тезиса и в аспекте поставленной </w:t>
      </w:r>
      <w:r w:rsidRPr="007C4F91">
        <w:rPr>
          <w:rFonts w:ascii="Times New Roman" w:eastAsia="Times New Roman" w:hAnsi="Times New Roman" w:cs="Times New Roman"/>
          <w:b/>
          <w:bCs/>
          <w:color w:val="000000"/>
          <w:kern w:val="0"/>
          <w:sz w:val="26"/>
          <w:szCs w:val="26"/>
          <w:lang w:eastAsia="ru-RU" w:bidi="ru-RU"/>
        </w:rPr>
        <w:t xml:space="preserve">общей цели </w:t>
      </w:r>
      <w:r w:rsidRPr="007C4F91">
        <w:rPr>
          <w:rFonts w:ascii="Times New Roman" w:eastAsia="Times New Roman" w:hAnsi="Times New Roman" w:cs="Times New Roman"/>
          <w:color w:val="000000"/>
          <w:kern w:val="0"/>
          <w:sz w:val="26"/>
          <w:szCs w:val="26"/>
          <w:lang w:eastAsia="ru-RU" w:bidi="ru-RU"/>
        </w:rPr>
        <w:t xml:space="preserve">- анализа влияния международных финансовых организаций на политику национального развития - определены следующие </w:t>
      </w:r>
      <w:r w:rsidRPr="007C4F91">
        <w:rPr>
          <w:rFonts w:ascii="Times New Roman" w:eastAsia="Times New Roman" w:hAnsi="Times New Roman" w:cs="Times New Roman"/>
          <w:b/>
          <w:bCs/>
          <w:color w:val="000000"/>
          <w:kern w:val="0"/>
          <w:sz w:val="26"/>
          <w:szCs w:val="26"/>
          <w:lang w:eastAsia="ru-RU" w:bidi="ru-RU"/>
        </w:rPr>
        <w:t xml:space="preserve">приоритетные задачи и направления </w:t>
      </w:r>
      <w:r w:rsidRPr="007C4F91">
        <w:rPr>
          <w:rFonts w:ascii="Times New Roman" w:eastAsia="Times New Roman" w:hAnsi="Times New Roman" w:cs="Times New Roman"/>
          <w:color w:val="000000"/>
          <w:kern w:val="0"/>
          <w:sz w:val="26"/>
          <w:szCs w:val="26"/>
          <w:lang w:eastAsia="ru-RU" w:bidi="ru-RU"/>
        </w:rPr>
        <w:t>исследования:</w:t>
      </w:r>
    </w:p>
    <w:p w:rsidR="007C4F91" w:rsidRPr="007C4F91" w:rsidRDefault="007C4F91" w:rsidP="007C4F91">
      <w:pPr>
        <w:numPr>
          <w:ilvl w:val="0"/>
          <w:numId w:val="42"/>
        </w:numPr>
        <w:tabs>
          <w:tab w:val="clear" w:pos="709"/>
          <w:tab w:val="left" w:pos="1406"/>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очертить эволюцию основных теоретических подходов к обоснованию роли внешнего финансирования в становлении предпосылок развития освободившихся стран;</w:t>
      </w:r>
    </w:p>
    <w:p w:rsidR="007C4F91" w:rsidRPr="007C4F91" w:rsidRDefault="007C4F91" w:rsidP="007C4F91">
      <w:pPr>
        <w:numPr>
          <w:ilvl w:val="0"/>
          <w:numId w:val="42"/>
        </w:numPr>
        <w:tabs>
          <w:tab w:val="clear" w:pos="709"/>
          <w:tab w:val="left" w:pos="1406"/>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проанализировать причины трансформации политики МВФ и МБ;</w:t>
      </w:r>
    </w:p>
    <w:p w:rsidR="007C4F91" w:rsidRPr="007C4F91" w:rsidRDefault="007C4F91" w:rsidP="007C4F91">
      <w:pPr>
        <w:numPr>
          <w:ilvl w:val="0"/>
          <w:numId w:val="42"/>
        </w:numPr>
        <w:tabs>
          <w:tab w:val="clear" w:pos="709"/>
          <w:tab w:val="left" w:pos="1406"/>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раскрыть особенности влияния программ макроэкономической стабилизации и структурной адаптации, разрабатываемых и реализуемых под эгидой МВФ и МБ, на экономику развивающихся стран - главным образом на примере Юго-Восточной Азии и Латинской Америки;</w:t>
      </w:r>
    </w:p>
    <w:p w:rsidR="007C4F91" w:rsidRPr="007C4F91" w:rsidRDefault="007C4F91" w:rsidP="007C4F91">
      <w:pPr>
        <w:numPr>
          <w:ilvl w:val="0"/>
          <w:numId w:val="42"/>
        </w:numPr>
        <w:tabs>
          <w:tab w:val="clear" w:pos="709"/>
          <w:tab w:val="left" w:pos="1406"/>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обобщить деятельность региональных банков развития;</w:t>
      </w:r>
    </w:p>
    <w:p w:rsidR="007C4F91" w:rsidRPr="007C4F91" w:rsidRDefault="007C4F91" w:rsidP="007C4F91">
      <w:pPr>
        <w:numPr>
          <w:ilvl w:val="0"/>
          <w:numId w:val="42"/>
        </w:numPr>
        <w:tabs>
          <w:tab w:val="clear" w:pos="709"/>
          <w:tab w:val="left" w:pos="1399"/>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проанализировать аспекты взаимодействия России с международными финансовыми организациями, особенно с МВФ;</w:t>
      </w:r>
    </w:p>
    <w:p w:rsidR="007C4F91" w:rsidRPr="007C4F91" w:rsidRDefault="007C4F91" w:rsidP="007C4F91">
      <w:pPr>
        <w:numPr>
          <w:ilvl w:val="0"/>
          <w:numId w:val="42"/>
        </w:numPr>
        <w:tabs>
          <w:tab w:val="clear" w:pos="709"/>
          <w:tab w:val="left" w:pos="1399"/>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обосновать целесообразность реформирования системы международных финансовых организаций с учетом интересов большинства государств-заемщиков;</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Объектом исследования является система официального многостороннего финансирования (ОМФ), а его предметом - эволюция политики, и методов функциональной деятельности ведущих международных финансовых организаций (преимущественно на примере стран Юго-Восточной Азии и Латинской Америки, а также России).</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Теоретическая и методологическая основа исследования. При подготовке диссертации автор придерживался комплексного (в тесной увязке с широким спектром экономических, социальных и политических параметров), свободного «от идеологических излишеств» подхода. Использовались методы сравнительных сопоставлений. Пристальное внимание отводилось отбору и систематизации эмпирического материала.</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Аналитическая разработка составных частей темы, обоснование оценок функциональной деятельности международных финансовых организаций опирались на штудирование солидного числа научных работ авторитетных отечественных и зарубежных ученых (см. библиографию), а также на использование справочных материалов, документов и публикаций МВФ, Мирового Банка, ОЕСД, ЮНКТАД, изданий официальных органов России и других стран, периодической литературы и информации, публикуемой на сайтах Интернета.</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Научная новизна работы определяется результатами, лично полученными соискателем. Наиболее важные из них таковы:</w:t>
      </w:r>
    </w:p>
    <w:p w:rsidR="007C4F91" w:rsidRPr="007C4F91" w:rsidRDefault="007C4F91" w:rsidP="007C4F91">
      <w:pPr>
        <w:numPr>
          <w:ilvl w:val="0"/>
          <w:numId w:val="42"/>
        </w:numPr>
        <w:tabs>
          <w:tab w:val="clear" w:pos="709"/>
          <w:tab w:val="left" w:pos="1399"/>
        </w:tabs>
        <w:suppressAutoHyphens w:val="0"/>
        <w:spacing w:after="0" w:line="457" w:lineRule="exact"/>
        <w:ind w:firstLine="88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выявлена неадекватность монетаристско-либеральной терапии МВФ и МБ условиям структурно неуравновешенного периферийного хозяйства;</w:t>
      </w:r>
    </w:p>
    <w:p w:rsidR="007C4F91" w:rsidRPr="007C4F91" w:rsidRDefault="007C4F91" w:rsidP="007C4F91">
      <w:pPr>
        <w:numPr>
          <w:ilvl w:val="0"/>
          <w:numId w:val="42"/>
        </w:numPr>
        <w:tabs>
          <w:tab w:val="clear" w:pos="709"/>
          <w:tab w:val="left" w:pos="1411"/>
        </w:tabs>
        <w:suppressAutoHyphens w:val="0"/>
        <w:spacing w:after="0" w:line="457" w:lineRule="exact"/>
        <w:ind w:firstLine="90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оценены результаты антикризисной политики МВФ и показаны особенности ее реализации в странах Юго-Восточной Азии, Латинской Америки</w:t>
      </w:r>
    </w:p>
    <w:p w:rsidR="007C4F91" w:rsidRPr="007C4F91" w:rsidRDefault="007C4F91" w:rsidP="007C4F91">
      <w:pPr>
        <w:numPr>
          <w:ilvl w:val="0"/>
          <w:numId w:val="42"/>
        </w:numPr>
        <w:tabs>
          <w:tab w:val="clear" w:pos="709"/>
          <w:tab w:val="left" w:pos="1411"/>
        </w:tabs>
        <w:suppressAutoHyphens w:val="0"/>
        <w:spacing w:after="0" w:line="457" w:lineRule="exact"/>
        <w:ind w:firstLine="90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прослежена тенденция переключения деятельности группы МБ (особенно МАР) на финансирование расширенных программ структурной перестройки и раздвижение ареала социальной адаптации населения к реформам;</w:t>
      </w:r>
    </w:p>
    <w:p w:rsidR="007C4F91" w:rsidRPr="007C4F91" w:rsidRDefault="007C4F91" w:rsidP="007C4F91">
      <w:pPr>
        <w:numPr>
          <w:ilvl w:val="0"/>
          <w:numId w:val="42"/>
        </w:numPr>
        <w:tabs>
          <w:tab w:val="clear" w:pos="709"/>
          <w:tab w:val="left" w:pos="1411"/>
        </w:tabs>
        <w:suppressAutoHyphens w:val="0"/>
        <w:spacing w:after="0" w:line="457" w:lineRule="exact"/>
        <w:ind w:firstLine="90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обобщена деятельность региональных банков развития;</w:t>
      </w:r>
    </w:p>
    <w:p w:rsidR="007C4F91" w:rsidRPr="007C4F91" w:rsidRDefault="007C4F91" w:rsidP="007C4F91">
      <w:pPr>
        <w:numPr>
          <w:ilvl w:val="0"/>
          <w:numId w:val="42"/>
        </w:numPr>
        <w:tabs>
          <w:tab w:val="clear" w:pos="709"/>
          <w:tab w:val="left" w:pos="1411"/>
        </w:tabs>
        <w:suppressAutoHyphens w:val="0"/>
        <w:spacing w:after="0" w:line="457" w:lineRule="exact"/>
        <w:ind w:firstLine="900"/>
        <w:jc w:val="left"/>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раскрыты последствия шокового влияния рецептов МВФ на процесс реформирования хозяйства России показано, что потенциал сотрудничества с МВФ равно как и с другими международными финансовыми организациями не исчерпан. В этой связи высказан ряд соображений об улучшении климата отношений с международными финансовыми организациями.</w:t>
      </w:r>
    </w:p>
    <w:p w:rsidR="007C4F91" w:rsidRPr="007C4F91" w:rsidRDefault="007C4F91" w:rsidP="007C4F91">
      <w:pPr>
        <w:tabs>
          <w:tab w:val="clear" w:pos="709"/>
        </w:tabs>
        <w:suppressAutoHyphens w:val="0"/>
        <w:spacing w:after="0" w:line="457" w:lineRule="exact"/>
        <w:ind w:firstLine="90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Практическая значимость исследования определяется потребностями нахождения оптимальных вариантов стратегии сотрудничества с МФО. Основные результаты работы могут быть использованы в рамках соответствующих служб Министерства экономического развития и торговли и Минфина России, а также в оперативной деятельности ряда других заинтересованных ведомств и организаций. По мнению автора, было бы полезно использовать основные разделы диссертации в научно-педагогическом процессе. Они могут послужить определенным подспорьем и в подготовке специалистов-международников.</w:t>
      </w:r>
    </w:p>
    <w:p w:rsidR="007C4F91" w:rsidRPr="007C4F91" w:rsidRDefault="007C4F91" w:rsidP="007C4F91">
      <w:pPr>
        <w:tabs>
          <w:tab w:val="clear" w:pos="709"/>
        </w:tabs>
        <w:suppressAutoHyphens w:val="0"/>
        <w:spacing w:after="0" w:line="457" w:lineRule="exact"/>
        <w:ind w:firstLine="900"/>
        <w:rPr>
          <w:rFonts w:ascii="Times New Roman" w:eastAsia="Times New Roman" w:hAnsi="Times New Roman" w:cs="Times New Roman"/>
          <w:color w:val="000000"/>
          <w:kern w:val="0"/>
          <w:sz w:val="26"/>
          <w:szCs w:val="26"/>
          <w:lang w:eastAsia="ru-RU" w:bidi="ru-RU"/>
        </w:rPr>
      </w:pPr>
      <w:r w:rsidRPr="007C4F91">
        <w:rPr>
          <w:rFonts w:ascii="Times New Roman" w:eastAsia="Times New Roman" w:hAnsi="Times New Roman" w:cs="Times New Roman"/>
          <w:color w:val="000000"/>
          <w:kern w:val="0"/>
          <w:sz w:val="26"/>
          <w:szCs w:val="26"/>
          <w:lang w:eastAsia="ru-RU" w:bidi="ru-RU"/>
        </w:rPr>
        <w:t>Апробация работы. Диссертация обсуждена и рекомендована к защите на кафедре международных экономических отношений экономического факультета РУДН. По теме исследования опубликованы 4 работы, общим объемом - 3 печатных листа.</w:t>
      </w:r>
    </w:p>
    <w:p w:rsidR="006E3A7D" w:rsidRDefault="006E3A7D" w:rsidP="007C4F91"/>
    <w:p w:rsidR="007C4F91" w:rsidRDefault="007C4F91" w:rsidP="007C4F91"/>
    <w:p w:rsidR="007C4F91" w:rsidRDefault="007C4F91" w:rsidP="007C4F91"/>
    <w:p w:rsidR="007C4F91" w:rsidRDefault="007C4F91" w:rsidP="007C4F91"/>
    <w:p w:rsidR="007C4F91" w:rsidRPr="007C4F91" w:rsidRDefault="007C4F91" w:rsidP="007C4F91">
      <w:pPr>
        <w:keepNext/>
        <w:keepLines/>
        <w:tabs>
          <w:tab w:val="clear" w:pos="709"/>
        </w:tabs>
        <w:suppressAutoHyphens w:val="0"/>
        <w:spacing w:after="132" w:line="260" w:lineRule="exact"/>
        <w:ind w:firstLine="0"/>
        <w:jc w:val="left"/>
        <w:outlineLvl w:val="5"/>
        <w:rPr>
          <w:rFonts w:ascii="Times New Roman" w:eastAsia="Times New Roman" w:hAnsi="Times New Roman" w:cs="Times New Roman"/>
          <w:kern w:val="0"/>
          <w:sz w:val="26"/>
          <w:szCs w:val="26"/>
          <w:lang w:eastAsia="ru-RU" w:bidi="ru-RU"/>
        </w:rPr>
      </w:pPr>
      <w:bookmarkStart w:id="2" w:name="bookmark15"/>
      <w:r w:rsidRPr="007C4F91">
        <w:rPr>
          <w:rFonts w:ascii="Times New Roman" w:eastAsia="Times New Roman" w:hAnsi="Times New Roman" w:cs="Times New Roman"/>
          <w:kern w:val="0"/>
          <w:sz w:val="26"/>
          <w:szCs w:val="26"/>
          <w:lang w:eastAsia="ru-RU" w:bidi="ru-RU"/>
        </w:rPr>
        <w:t>ЗАКЛЮЧЕНИЕ</w:t>
      </w:r>
      <w:bookmarkEnd w:id="2"/>
    </w:p>
    <w:p w:rsidR="007C4F91" w:rsidRPr="007C4F91" w:rsidRDefault="007C4F91" w:rsidP="007C4F91">
      <w:pPr>
        <w:tabs>
          <w:tab w:val="clear" w:pos="709"/>
        </w:tabs>
        <w:suppressAutoHyphens w:val="0"/>
        <w:spacing w:after="0" w:line="402" w:lineRule="exact"/>
        <w:ind w:firstLine="860"/>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На основе выполненного исследования можно коротко сформулировать ряд выводов и практических рекомендаций, суть которых сводится к следующему:</w:t>
      </w:r>
    </w:p>
    <w:p w:rsidR="007C4F91" w:rsidRPr="007C4F91" w:rsidRDefault="007C4F91" w:rsidP="007C4F91">
      <w:pPr>
        <w:numPr>
          <w:ilvl w:val="0"/>
          <w:numId w:val="44"/>
        </w:numPr>
        <w:tabs>
          <w:tab w:val="clear" w:pos="709"/>
          <w:tab w:val="left" w:pos="1346"/>
        </w:tabs>
        <w:suppressAutoHyphens w:val="0"/>
        <w:spacing w:after="0" w:line="457" w:lineRule="exact"/>
        <w:ind w:firstLine="86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Проблема эффективности и влияния официального многостороннего финансирования на экономику и экономическую политику стран-реципиентов в настоящее время стоит крайне остро, так как для ряда развивающихся стран и некоторых стран с переходной экономикой в условиях, когда выход их на международный рынок частного капитала и мобилизация собственных ресурсов крайне затруднены, а иногда и просто невозможны, официальное многостороннее финансирование становится важнейшим источником необходимых средств для проведения реформ.</w:t>
      </w:r>
    </w:p>
    <w:p w:rsidR="007C4F91" w:rsidRPr="007C4F91" w:rsidRDefault="007C4F91" w:rsidP="007C4F91">
      <w:pPr>
        <w:numPr>
          <w:ilvl w:val="0"/>
          <w:numId w:val="44"/>
        </w:numPr>
        <w:tabs>
          <w:tab w:val="clear" w:pos="709"/>
          <w:tab w:val="left" w:pos="1243"/>
        </w:tabs>
        <w:suppressAutoHyphens w:val="0"/>
        <w:spacing w:after="0" w:line="457" w:lineRule="exact"/>
        <w:ind w:firstLine="86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Однако официальное многостороннее финансирование является целевым и обусловленным. Через механизм обусловленности кредитов международные экономические организации напрямую влияют на социально</w:t>
      </w:r>
      <w:r w:rsidRPr="007C4F91">
        <w:rPr>
          <w:rFonts w:ascii="Times New Roman" w:eastAsia="Times New Roman" w:hAnsi="Times New Roman" w:cs="Times New Roman"/>
          <w:kern w:val="0"/>
          <w:sz w:val="26"/>
          <w:szCs w:val="26"/>
          <w:lang w:eastAsia="ru-RU" w:bidi="ru-RU"/>
        </w:rPr>
        <w:softHyphen/>
        <w:t>экономическое развитие принимающих стран. Более чем пятнадцатилетний опыт неолиберальных преобразований в различных развивающихся странах и странах с переходной экономикой дает богатый фактический материал для оценки результатов проведения этих реформ.</w:t>
      </w:r>
    </w:p>
    <w:p w:rsidR="007C4F91" w:rsidRPr="007C4F91" w:rsidRDefault="007C4F91" w:rsidP="007C4F91">
      <w:pPr>
        <w:numPr>
          <w:ilvl w:val="0"/>
          <w:numId w:val="44"/>
        </w:numPr>
        <w:tabs>
          <w:tab w:val="clear" w:pos="709"/>
          <w:tab w:val="left" w:pos="1243"/>
        </w:tabs>
        <w:suppressAutoHyphens w:val="0"/>
        <w:spacing w:after="0" w:line="457" w:lineRule="exact"/>
        <w:ind w:firstLine="86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Опыт реализации стабилизационно-адаптационных программ МВФ/МБ продемонстрировал слабую их приживаемость в странах - заемщицах, а то и полную несовместимость с реалиями экономической жизни многих, особенно отстающих, стран «третьего мира». Изначально четко сориентированные на ускоренную капитализацию экономики посредством форсированной приватизации и безбрежной либерализации хозяйственной деятельности, они не учитывали особенностей производственных сил, народнохозяйственного комплекса, его отраслевой и технико-технологической структуры принимающих стран. Рассчитанные на стремительный успех, они пренебрегали долгосрочным прогнозированием, не учитывая последствий, — чем более отдаленных, тем более разрушительных.</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Предложенные МВФ меры всегда имели и сильные, и слабые стороны. Сила этих мер в том, что они заставляли принимающие страны меньше тратить, лучше собирать налоги, аккуратнее заимствовать на международном рынке частных кредитов, реальнее смотреть на истинный вес национальных валют, начать борьбу с административно-политическими и семейно-клановыми препятствиями оздоровлению национальных экономик.</w:t>
      </w:r>
    </w:p>
    <w:p w:rsidR="007C4F91" w:rsidRPr="007C4F91" w:rsidRDefault="007C4F91" w:rsidP="007C4F91">
      <w:pPr>
        <w:tabs>
          <w:tab w:val="clear" w:pos="709"/>
        </w:tabs>
        <w:suppressAutoHyphens w:val="0"/>
        <w:spacing w:after="0" w:line="457" w:lineRule="exact"/>
        <w:ind w:firstLine="860"/>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Негативными эффектами реализации данных мер стали спад производства, массовые банкротства мелкого и среднего бизнеса. Ускоренная либерализация экономики породила ряд новых социальных проблем, затронувших уровень жизни большинства населения принимающих стран. Глубокая социально-экономическая дифференциация между богатыми и бедными, обнищание населения, задержки зарплаты, безработица и как следствие снижение уровня рождаемости, старение населения, взрывной рост преступности и появление ее новых видов - все эти новые социальные проблемы в сфере жизнедеятельности миллионов жителей этих государств, возникнув на начальном этапе либерализации экономики, стали неотъемлемой чертой реформ.</w:t>
      </w:r>
    </w:p>
    <w:p w:rsidR="007C4F91" w:rsidRPr="007C4F91" w:rsidRDefault="007C4F91" w:rsidP="007C4F91">
      <w:pPr>
        <w:numPr>
          <w:ilvl w:val="0"/>
          <w:numId w:val="44"/>
        </w:numPr>
        <w:tabs>
          <w:tab w:val="clear" w:pos="709"/>
          <w:tab w:val="left" w:pos="1164"/>
        </w:tabs>
        <w:suppressAutoHyphens w:val="0"/>
        <w:spacing w:after="0" w:line="457" w:lineRule="exact"/>
        <w:ind w:firstLine="86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Российский кризис 1998 года, периодически возникающие кризисы в странах Латинской Америки и начавшийся в конце 2001 года и продолжающийся по сей день кризис в Аргентине, Боливии и др. доказывают и это признают уже официальные лица, ошибочность выбранной стратегии развития. Схемы глобального поведения, исходящие из сильных индустриально-информационных центров с их макро- и микроспецифическими нормами не подходят для стран догоняющего развития. Нормативы свободной рыночной экономики, при отсутствии концепции включения страны- реципиента в новый век знаний и высоких технологий, сокращении расходов на образование и здравоохранение, при снижении планки нравственно-моральных ценностей в национальной управленческой среде, росте коррупции и злоупотреблений во властных структурах, огромном бюрократическом аппарате не могли дать иных результатов.</w:t>
      </w:r>
    </w:p>
    <w:p w:rsidR="007C4F91" w:rsidRPr="007C4F91" w:rsidRDefault="007C4F91" w:rsidP="007C4F91">
      <w:pPr>
        <w:numPr>
          <w:ilvl w:val="0"/>
          <w:numId w:val="43"/>
        </w:numPr>
        <w:tabs>
          <w:tab w:val="clear" w:pos="709"/>
          <w:tab w:val="left" w:pos="1168"/>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Содействие МБ структурной модернизации хозяйства, в том числе и российского, тоже было в целом малоэффективным, и характеризовалось затуханием инвестиционной деятельности.</w:t>
      </w:r>
    </w:p>
    <w:p w:rsidR="007C4F91" w:rsidRPr="007C4F91" w:rsidRDefault="007C4F91" w:rsidP="007C4F91">
      <w:pPr>
        <w:numPr>
          <w:ilvl w:val="0"/>
          <w:numId w:val="43"/>
        </w:numPr>
        <w:tabs>
          <w:tab w:val="clear" w:pos="709"/>
          <w:tab w:val="left" w:pos="1399"/>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С середины 90-х годов стала наблюдаться тенденция к модификации монетаристско-либеральной идеологии ведущих международных финансовых организаций. Во многом этот сдвиг отражает опасение возникновения новых валютно-финансовых кризисов и нарастание антиглобалистских настроений;</w:t>
      </w:r>
    </w:p>
    <w:p w:rsidR="007C4F91" w:rsidRPr="007C4F91" w:rsidRDefault="007C4F91" w:rsidP="007C4F91">
      <w:pPr>
        <w:numPr>
          <w:ilvl w:val="0"/>
          <w:numId w:val="43"/>
        </w:numPr>
        <w:tabs>
          <w:tab w:val="clear" w:pos="709"/>
          <w:tab w:val="left" w:pos="1168"/>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В программах «новой волны» расширен спектр финансовой поддержки решению проблем развития ключевых участков реального сектора, особенно социальной адаптации населения к рыночно ориентированным реформам;</w:t>
      </w:r>
    </w:p>
    <w:p w:rsidR="007C4F91" w:rsidRPr="007C4F91" w:rsidRDefault="007C4F91" w:rsidP="007C4F91">
      <w:pPr>
        <w:numPr>
          <w:ilvl w:val="0"/>
          <w:numId w:val="43"/>
        </w:numPr>
        <w:tabs>
          <w:tab w:val="clear" w:pos="709"/>
          <w:tab w:val="left" w:pos="1168"/>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Однако формирование новой концепции коллективных действий, отвечающей потребностям большинства развивающихся стран, особенно отстающих, все заметнее отторгаемых от процесса глобализации, неоправданно затягивается;</w:t>
      </w:r>
    </w:p>
    <w:p w:rsidR="007C4F91" w:rsidRPr="007C4F91" w:rsidRDefault="007C4F91" w:rsidP="007C4F91">
      <w:pPr>
        <w:numPr>
          <w:ilvl w:val="0"/>
          <w:numId w:val="43"/>
        </w:numPr>
        <w:tabs>
          <w:tab w:val="clear" w:pos="709"/>
          <w:tab w:val="left" w:pos="1168"/>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По мнению диссертанта, следовало бы ускорить меры по демократизации ведущих международных финансовых организаций, провести ревизию их процедур, весомо затрудняющих согласование сроков, размеров и условий кредитов, изъять из практики МВФ и МБ элементы политического вмешательства.</w:t>
      </w:r>
    </w:p>
    <w:p w:rsidR="007C4F91" w:rsidRPr="007C4F91" w:rsidRDefault="007C4F91" w:rsidP="007C4F91">
      <w:pPr>
        <w:tabs>
          <w:tab w:val="clear" w:pos="709"/>
        </w:tabs>
        <w:suppressAutoHyphens w:val="0"/>
        <w:spacing w:after="0" w:line="457" w:lineRule="exact"/>
        <w:ind w:firstLine="880"/>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В настоящее время необходима выработка новой концепции внешнего финансирования, которая бы не отрицая цели достижения экономического роста, включала бы в себя меры по улучшению здравоохранения и образования, сохранение окружающей среды, более равномерное распределение доходов и демократизацию общества, активно использовала финансовое регулирование, поощрение конкуренции, инвестиции в «человеческий капитал» и в развитие технологий. А самое главное, учитывала социально-экономические условия принимающей страны.</w:t>
      </w:r>
    </w:p>
    <w:p w:rsidR="007C4F91" w:rsidRPr="007C4F91" w:rsidRDefault="007C4F91" w:rsidP="007C4F91">
      <w:pPr>
        <w:numPr>
          <w:ilvl w:val="0"/>
          <w:numId w:val="43"/>
        </w:numPr>
        <w:tabs>
          <w:tab w:val="clear" w:pos="709"/>
          <w:tab w:val="left" w:pos="1202"/>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Вопрос об активизации сотрудничества с МБ и его филиалами (МАР и МФК) также должен решаться в русле диалога, исключающего проявление какой-либо дискриминации;</w:t>
      </w:r>
    </w:p>
    <w:p w:rsidR="007C4F91" w:rsidRPr="007C4F91" w:rsidRDefault="007C4F91" w:rsidP="007C4F91">
      <w:pPr>
        <w:numPr>
          <w:ilvl w:val="0"/>
          <w:numId w:val="43"/>
        </w:numPr>
        <w:tabs>
          <w:tab w:val="clear" w:pos="709"/>
          <w:tab w:val="left" w:pos="1274"/>
        </w:tabs>
        <w:suppressAutoHyphens w:val="0"/>
        <w:spacing w:after="0" w:line="457" w:lineRule="exact"/>
        <w:ind w:firstLine="880"/>
        <w:jc w:val="left"/>
        <w:rPr>
          <w:rFonts w:ascii="Times New Roman" w:eastAsia="Times New Roman" w:hAnsi="Times New Roman" w:cs="Times New Roman"/>
          <w:kern w:val="0"/>
          <w:sz w:val="26"/>
          <w:szCs w:val="26"/>
          <w:lang w:eastAsia="ru-RU" w:bidi="ru-RU"/>
        </w:rPr>
      </w:pPr>
      <w:r w:rsidRPr="007C4F91">
        <w:rPr>
          <w:rFonts w:ascii="Times New Roman" w:eastAsia="Times New Roman" w:hAnsi="Times New Roman" w:cs="Times New Roman"/>
          <w:kern w:val="0"/>
          <w:sz w:val="26"/>
          <w:szCs w:val="26"/>
          <w:lang w:eastAsia="ru-RU" w:bidi="ru-RU"/>
        </w:rPr>
        <w:t>Необходимо не упускать из виду, что участие России в МБ может способствовать продвижению российского промышленного экспорта в развивающиеся страны. В данном контексте заслуживает внимания идея о вступлении России в региональные банки развития — АзБР, МаБР и АфБР (разумеется, для обоснования такой инициативы потребуется глубокая проработка вопроса).</w:t>
      </w:r>
    </w:p>
    <w:p w:rsidR="007C4F91" w:rsidRPr="007C4F91" w:rsidRDefault="007C4F91" w:rsidP="007C4F91">
      <w:r w:rsidRPr="007C4F91">
        <w:rPr>
          <w:rFonts w:ascii="Arial Unicode MS" w:eastAsia="Arial Unicode MS" w:hAnsi="Arial Unicode MS" w:cs="Arial Unicode MS"/>
          <w:color w:val="000000"/>
          <w:kern w:val="0"/>
          <w:sz w:val="24"/>
          <w:szCs w:val="24"/>
          <w:lang w:eastAsia="ru-RU" w:bidi="ru-RU"/>
        </w:rPr>
        <w:t>В целом, на волне критики международных финансовых институтов и усиления антиглобалистских настроений у развивающихся стран и стран с переходной экономикой появился шанс отстоять свои национальные интересы и добиться большей самостоятельности в разработке экономических программ и использовании средств. Нельзя допустить, чтобы посредством международных финансовых организаций развитые рыночные страны манипулировали экономической ситуацией в странах-реципиентах в своих интересах.</w:t>
      </w:r>
    </w:p>
    <w:sectPr w:rsidR="007C4F91" w:rsidRPr="007C4F91"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7C4F91" w:rsidRPr="007C4F91">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91" w:rsidRDefault="007C4F91">
    <w:pPr>
      <w:rPr>
        <w:sz w:val="2"/>
        <w:szCs w:val="2"/>
      </w:rPr>
    </w:pPr>
    <w:r w:rsidRPr="00845BA6">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556.95pt;margin-top:9.2pt;width:8.45pt;height:6.85pt;z-index:-251614208;mso-wrap-style:none;mso-wrap-distance-left:5pt;mso-wrap-distance-right:5pt;mso-position-horizontal-relative:page;mso-position-vertical-relative:page" wrapcoords="0 0" filled="f" stroked="f">
          <v:textbox style="mso-fit-shape-to-text:t" inset="0,0,0,0">
            <w:txbxContent>
              <w:p w:rsidR="007C4F91" w:rsidRDefault="007C4F91">
                <w:pPr>
                  <w:spacing w:line="240" w:lineRule="auto"/>
                </w:pPr>
                <w:fldSimple w:instr=" PAGE \* MERGEFORMAT ">
                  <w:r w:rsidRPr="00034B5D">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A487CB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D4ED4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2CD89A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1A601FD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8"/>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9"/>
    <w:multiLevelType w:val="hybridMultilevel"/>
    <w:tmpl w:val="6C053B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0A"/>
    <w:multiLevelType w:val="hybridMultilevel"/>
    <w:tmpl w:val="388CDA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4">
    <w:nsid w:val="0000000B"/>
    <w:multiLevelType w:val="hybridMultilevel"/>
    <w:tmpl w:val="5243BFA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0C"/>
    <w:multiLevelType w:val="hybridMultilevel"/>
    <w:tmpl w:val="520A9AA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0D"/>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579478F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749ABB4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3DC240F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3"/>
    <w:multiLevelType w:val="hybridMultilevel"/>
    <w:tmpl w:val="79A1DE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5"/>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6"/>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7"/>
    <w:multiLevelType w:val="hybridMultilevel"/>
    <w:tmpl w:val="520EEDD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8"/>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9"/>
    <w:multiLevelType w:val="hybridMultilevel"/>
    <w:tmpl w:val="4F4EF0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A"/>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B"/>
    <w:multiLevelType w:val="hybridMultilevel"/>
    <w:tmpl w:val="649BB77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2">
    <w:nsid w:val="0000003E"/>
    <w:multiLevelType w:val="singleLevel"/>
    <w:tmpl w:val="0000003E"/>
    <w:name w:val="WW8Num37"/>
    <w:lvl w:ilvl="0">
      <w:start w:val="1"/>
      <w:numFmt w:val="decimal"/>
      <w:lvlText w:val="%1."/>
      <w:lvlJc w:val="left"/>
      <w:pPr>
        <w:tabs>
          <w:tab w:val="num" w:pos="0"/>
        </w:tabs>
        <w:ind w:left="502" w:hanging="360"/>
      </w:pPr>
    </w:lvl>
  </w:abstractNum>
  <w:abstractNum w:abstractNumId="5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DC"/>
    <w:multiLevelType w:val="hybridMultilevel"/>
    <w:tmpl w:val="378D97C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000000DD"/>
    <w:multiLevelType w:val="hybridMultilevel"/>
    <w:tmpl w:val="1D91467C"/>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E"/>
    <w:multiLevelType w:val="hybridMultilevel"/>
    <w:tmpl w:val="316032B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F"/>
    <w:multiLevelType w:val="hybridMultilevel"/>
    <w:tmpl w:val="44344C22"/>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E0"/>
    <w:multiLevelType w:val="hybridMultilevel"/>
    <w:tmpl w:val="13CDFCF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E1"/>
    <w:multiLevelType w:val="hybridMultilevel"/>
    <w:tmpl w:val="471745E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000E2"/>
    <w:multiLevelType w:val="hybridMultilevel"/>
    <w:tmpl w:val="01DDBC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10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1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1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1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14">
    <w:nsid w:val="393448C7"/>
    <w:multiLevelType w:val="multilevel"/>
    <w:tmpl w:val="5F5846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16">
    <w:nsid w:val="436D5F73"/>
    <w:multiLevelType w:val="multilevel"/>
    <w:tmpl w:val="00AC3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C84914"/>
    <w:multiLevelType w:val="multilevel"/>
    <w:tmpl w:val="992E0F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CA49AD"/>
    <w:multiLevelType w:val="multilevel"/>
    <w:tmpl w:val="7BA87E9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C8707C"/>
    <w:multiLevelType w:val="multilevel"/>
    <w:tmpl w:val="0448B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21">
    <w:nsid w:val="72A43E97"/>
    <w:multiLevelType w:val="multilevel"/>
    <w:tmpl w:val="CA384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5"/>
  </w:num>
  <w:num w:numId="13">
    <w:abstractNumId w:val="6"/>
  </w:num>
  <w:num w:numId="14">
    <w:abstractNumId w:val="7"/>
  </w:num>
  <w:num w:numId="15">
    <w:abstractNumId w:val="8"/>
  </w:num>
  <w:num w:numId="16">
    <w:abstractNumId w:val="9"/>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87"/>
  </w:num>
  <w:num w:numId="33">
    <w:abstractNumId w:val="88"/>
  </w:num>
  <w:num w:numId="34">
    <w:abstractNumId w:val="89"/>
  </w:num>
  <w:num w:numId="35">
    <w:abstractNumId w:val="90"/>
  </w:num>
  <w:num w:numId="36">
    <w:abstractNumId w:val="91"/>
  </w:num>
  <w:num w:numId="37">
    <w:abstractNumId w:val="92"/>
  </w:num>
  <w:num w:numId="38">
    <w:abstractNumId w:val="93"/>
  </w:num>
  <w:num w:numId="39">
    <w:abstractNumId w:val="114"/>
  </w:num>
  <w:num w:numId="40">
    <w:abstractNumId w:val="117"/>
  </w:num>
  <w:num w:numId="41">
    <w:abstractNumId w:val="118"/>
  </w:num>
  <w:num w:numId="42">
    <w:abstractNumId w:val="121"/>
  </w:num>
  <w:num w:numId="43">
    <w:abstractNumId w:val="119"/>
  </w:num>
  <w:num w:numId="44">
    <w:abstractNumId w:val="1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BDCD-1830-4BC9-A6F6-5E347AC9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2021-07-02T10:49:00Z</dcterms:created>
  <dcterms:modified xsi:type="dcterms:W3CDTF">2021-07-02T10:49:00Z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