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923" w:rsidRPr="000C5923" w:rsidRDefault="000C5923" w:rsidP="000C5923">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0C5923">
        <w:rPr>
          <w:rFonts w:ascii="Arial" w:hAnsi="Arial" w:cs="Arial"/>
          <w:b/>
          <w:bCs/>
          <w:color w:val="000000"/>
          <w:kern w:val="0"/>
          <w:sz w:val="28"/>
          <w:szCs w:val="28"/>
          <w:lang w:eastAsia="ru-RU"/>
        </w:rPr>
        <w:t xml:space="preserve">Науменко Сергій Геннадійович, </w:t>
      </w:r>
      <w:r w:rsidRPr="000C5923">
        <w:rPr>
          <w:rFonts w:ascii="Arial" w:hAnsi="Arial" w:cs="Arial"/>
          <w:color w:val="000000"/>
          <w:kern w:val="0"/>
          <w:sz w:val="28"/>
          <w:szCs w:val="28"/>
          <w:lang w:eastAsia="ru-RU"/>
        </w:rPr>
        <w:t xml:space="preserve">старший викладач кафедри фінансового права та фіскального адміністрування Національної академії внутрішніх справ, тема дисертації «Адміністративно-правове регулювання діяльності Фонду гарантування вкладів фізичних осіб», (081 - Право). Спеціалізована вчена рада ДФ 26.007.073 в Національній академії внутрішніх справ </w:t>
      </w:r>
    </w:p>
    <w:p w:rsidR="00D333D3" w:rsidRPr="000C5923" w:rsidRDefault="00D333D3" w:rsidP="000C5923"/>
    <w:sectPr w:rsidR="00D333D3" w:rsidRPr="000C592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0C5923" w:rsidRPr="000C592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36ABA-8B8A-4075-84C0-018AF039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2021-11-19T18:13:00Z</dcterms:created>
  <dcterms:modified xsi:type="dcterms:W3CDTF">2021-11-20T10:53:00Z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