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DD65"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Семыкина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Ирина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Олеговна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Оценка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региональных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экономических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эффектов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Восточной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Сибири</w:t>
      </w:r>
      <w:r w:rsidRPr="0047096B">
        <w:rPr>
          <w:rFonts w:ascii="Courier New" w:eastAsia="Times New Roman" w:hAnsi="Courier New" w:cs="Times New Roman"/>
          <w:b/>
          <w:bCs/>
          <w:w w:val="70"/>
          <w:kern w:val="0"/>
          <w:sz w:val="31"/>
          <w:szCs w:val="31"/>
          <w:lang w:eastAsia="ru-RU"/>
        </w:rPr>
        <w:t xml:space="preserve"> : </w:t>
      </w:r>
      <w:r w:rsidRPr="0047096B">
        <w:rPr>
          <w:rFonts w:ascii="Courier New" w:eastAsia="Times New Roman" w:hAnsi="Courier New" w:cs="Times New Roman" w:hint="eastAsia"/>
          <w:b/>
          <w:bCs/>
          <w:w w:val="70"/>
          <w:kern w:val="0"/>
          <w:sz w:val="31"/>
          <w:szCs w:val="31"/>
          <w:lang w:eastAsia="ru-RU"/>
        </w:rPr>
        <w:t>диссертация</w:t>
      </w:r>
      <w:r w:rsidRPr="0047096B">
        <w:rPr>
          <w:rFonts w:ascii="Courier New" w:eastAsia="Times New Roman" w:hAnsi="Courier New" w:cs="Times New Roman"/>
          <w:b/>
          <w:bCs/>
          <w:w w:val="70"/>
          <w:kern w:val="0"/>
          <w:sz w:val="31"/>
          <w:szCs w:val="31"/>
          <w:lang w:eastAsia="ru-RU"/>
        </w:rPr>
        <w:t xml:space="preserve"> ... </w:t>
      </w:r>
      <w:r w:rsidRPr="0047096B">
        <w:rPr>
          <w:rFonts w:ascii="Courier New" w:eastAsia="Times New Roman" w:hAnsi="Courier New" w:cs="Times New Roman" w:hint="eastAsia"/>
          <w:b/>
          <w:bCs/>
          <w:w w:val="70"/>
          <w:kern w:val="0"/>
          <w:sz w:val="31"/>
          <w:szCs w:val="31"/>
          <w:lang w:eastAsia="ru-RU"/>
        </w:rPr>
        <w:t>кандидата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экономических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наук</w:t>
      </w:r>
      <w:r w:rsidRPr="0047096B">
        <w:rPr>
          <w:rFonts w:ascii="Courier New" w:eastAsia="Times New Roman" w:hAnsi="Courier New" w:cs="Times New Roman"/>
          <w:b/>
          <w:bCs/>
          <w:w w:val="70"/>
          <w:kern w:val="0"/>
          <w:sz w:val="31"/>
          <w:szCs w:val="31"/>
          <w:lang w:eastAsia="ru-RU"/>
        </w:rPr>
        <w:t xml:space="preserve"> : 08.00.05 / </w:t>
      </w:r>
      <w:r w:rsidRPr="0047096B">
        <w:rPr>
          <w:rFonts w:ascii="Courier New" w:eastAsia="Times New Roman" w:hAnsi="Courier New" w:cs="Times New Roman" w:hint="eastAsia"/>
          <w:b/>
          <w:bCs/>
          <w:w w:val="70"/>
          <w:kern w:val="0"/>
          <w:sz w:val="31"/>
          <w:szCs w:val="31"/>
          <w:lang w:eastAsia="ru-RU"/>
        </w:rPr>
        <w:t>Семыкина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Ирина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Олеговна</w:t>
      </w:r>
      <w:r w:rsidRPr="0047096B">
        <w:rPr>
          <w:rFonts w:ascii="Courier New" w:eastAsia="Times New Roman" w:hAnsi="Courier New" w:cs="Times New Roman"/>
          <w:b/>
          <w:bCs/>
          <w:w w:val="70"/>
          <w:kern w:val="0"/>
          <w:sz w:val="31"/>
          <w:szCs w:val="31"/>
          <w:lang w:eastAsia="ru-RU"/>
        </w:rPr>
        <w:t>; [</w:t>
      </w:r>
      <w:r w:rsidRPr="0047096B">
        <w:rPr>
          <w:rFonts w:ascii="Courier New" w:eastAsia="Times New Roman" w:hAnsi="Courier New" w:cs="Times New Roman" w:hint="eastAsia"/>
          <w:b/>
          <w:bCs/>
          <w:w w:val="70"/>
          <w:kern w:val="0"/>
          <w:sz w:val="31"/>
          <w:szCs w:val="31"/>
          <w:lang w:eastAsia="ru-RU"/>
        </w:rPr>
        <w:t>Место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защиты</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Ин</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т</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экономики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организации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пром</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ва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РАН</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Новосибирск</w:t>
      </w:r>
      <w:r w:rsidRPr="0047096B">
        <w:rPr>
          <w:rFonts w:ascii="Courier New" w:eastAsia="Times New Roman" w:hAnsi="Courier New" w:cs="Times New Roman"/>
          <w:b/>
          <w:bCs/>
          <w:w w:val="70"/>
          <w:kern w:val="0"/>
          <w:sz w:val="31"/>
          <w:szCs w:val="31"/>
          <w:lang w:eastAsia="ru-RU"/>
        </w:rPr>
        <w:t xml:space="preserve">, 2013.- 155 </w:t>
      </w:r>
      <w:r w:rsidRPr="0047096B">
        <w:rPr>
          <w:rFonts w:ascii="Courier New" w:eastAsia="Times New Roman" w:hAnsi="Courier New" w:cs="Times New Roman" w:hint="eastAsia"/>
          <w:b/>
          <w:bCs/>
          <w:w w:val="70"/>
          <w:kern w:val="0"/>
          <w:sz w:val="31"/>
          <w:szCs w:val="31"/>
          <w:lang w:eastAsia="ru-RU"/>
        </w:rPr>
        <w:t>с</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ил</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РГБ</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ОД</w:t>
      </w:r>
      <w:r w:rsidRPr="0047096B">
        <w:rPr>
          <w:rFonts w:ascii="Courier New" w:eastAsia="Times New Roman" w:hAnsi="Courier New" w:cs="Times New Roman"/>
          <w:b/>
          <w:bCs/>
          <w:w w:val="70"/>
          <w:kern w:val="0"/>
          <w:sz w:val="31"/>
          <w:szCs w:val="31"/>
          <w:lang w:eastAsia="ru-RU"/>
        </w:rPr>
        <w:t>, 61 14-8/371</w:t>
      </w:r>
    </w:p>
    <w:p w14:paraId="37005498" w14:textId="77777777" w:rsidR="0047096B" w:rsidRPr="0047096B" w:rsidRDefault="0047096B" w:rsidP="0047096B">
      <w:pPr>
        <w:rPr>
          <w:rFonts w:ascii="Courier New" w:eastAsia="Times New Roman" w:hAnsi="Courier New" w:cs="Times New Roman"/>
          <w:b/>
          <w:bCs/>
          <w:w w:val="70"/>
          <w:kern w:val="0"/>
          <w:sz w:val="31"/>
          <w:szCs w:val="31"/>
          <w:lang w:eastAsia="ru-RU"/>
        </w:rPr>
      </w:pPr>
    </w:p>
    <w:p w14:paraId="22BA0A16" w14:textId="77777777" w:rsidR="0047096B" w:rsidRPr="0047096B" w:rsidRDefault="0047096B" w:rsidP="0047096B">
      <w:pPr>
        <w:rPr>
          <w:rFonts w:ascii="Courier New" w:eastAsia="Times New Roman" w:hAnsi="Courier New" w:cs="Times New Roman"/>
          <w:b/>
          <w:bCs/>
          <w:w w:val="70"/>
          <w:kern w:val="0"/>
          <w:sz w:val="31"/>
          <w:szCs w:val="31"/>
          <w:lang w:eastAsia="ru-RU"/>
        </w:rPr>
      </w:pPr>
    </w:p>
    <w:p w14:paraId="5621B0AD"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ФЕДЕРАЛЬНОЕ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ГОСУДАРСТВЕННОЕ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БЮДЖЕТНОЕ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УЧРЕЖДЕНИЕ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НАУКИ</w:t>
      </w:r>
    </w:p>
    <w:p w14:paraId="6583D003"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ИНСТИТУТ</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ЭКОНОМИКИ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ОРГАНИЗАЦИИ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ПРОМЫШЛЕННОГО</w:t>
      </w:r>
    </w:p>
    <w:p w14:paraId="0CCFE3E7"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ПРОИЗВОДСТВА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СИБИРСКОГО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ОТДЕЛЕНИЯ</w:t>
      </w:r>
    </w:p>
    <w:p w14:paraId="1E66BC1C"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РОССИЙСКОЙ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АКАДЕМИИ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НАУК</w:t>
      </w:r>
    </w:p>
    <w:p w14:paraId="664B3192"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СЕМЫКИНА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ИРИНА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ОЛЕГОВНА</w:t>
      </w:r>
    </w:p>
    <w:p w14:paraId="6DB99F1A"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ОЦЕНКА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РЕГИОНАЛЬНЫХ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ЭКОНОМИЧЕСКИХ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ЭФФЕКТОВ</w:t>
      </w:r>
    </w:p>
    <w:p w14:paraId="0519AC53"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ПРИ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ВОСТОЧНОЙ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СИБИРИ</w:t>
      </w:r>
    </w:p>
    <w:p w14:paraId="44F493A4"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Специальность</w:t>
      </w:r>
      <w:r w:rsidRPr="0047096B">
        <w:rPr>
          <w:rFonts w:ascii="Courier New" w:eastAsia="Times New Roman" w:hAnsi="Courier New" w:cs="Times New Roman"/>
          <w:b/>
          <w:bCs/>
          <w:w w:val="70"/>
          <w:kern w:val="0"/>
          <w:sz w:val="31"/>
          <w:szCs w:val="31"/>
          <w:lang w:eastAsia="ru-RU"/>
        </w:rPr>
        <w:t xml:space="preserve"> 08.00.05 </w:t>
      </w:r>
      <w:r w:rsidRPr="0047096B">
        <w:rPr>
          <w:rFonts w:ascii="Courier New" w:eastAsia="Times New Roman" w:hAnsi="Courier New" w:cs="Times New Roman" w:hint="eastAsia"/>
          <w:b/>
          <w:bCs/>
          <w:w w:val="70"/>
          <w:kern w:val="0"/>
          <w:sz w:val="31"/>
          <w:szCs w:val="31"/>
          <w:lang w:eastAsia="ru-RU"/>
        </w:rPr>
        <w:t>—</w:t>
      </w:r>
    </w:p>
    <w:p w14:paraId="75D0C9D9"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Экономика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управление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народным</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хозяйством</w:t>
      </w:r>
      <w:r w:rsidRPr="0047096B">
        <w:rPr>
          <w:rFonts w:ascii="Courier New" w:eastAsia="Times New Roman" w:hAnsi="Courier New" w:cs="Times New Roman"/>
          <w:b/>
          <w:bCs/>
          <w:w w:val="70"/>
          <w:kern w:val="0"/>
          <w:sz w:val="31"/>
          <w:szCs w:val="31"/>
          <w:lang w:eastAsia="ru-RU"/>
        </w:rPr>
        <w:t>:</w:t>
      </w:r>
    </w:p>
    <w:p w14:paraId="65DC90C7"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региональная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экономика</w:t>
      </w:r>
    </w:p>
    <w:p w14:paraId="59AB0160"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Диссертация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соискание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ученой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степени</w:t>
      </w:r>
    </w:p>
    <w:p w14:paraId="1060ACF9"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кандидата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экономических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наук</w:t>
      </w:r>
    </w:p>
    <w:p w14:paraId="67D891EA"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Научный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руководитель</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н</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Шмат</w:t>
      </w:r>
    </w:p>
    <w:p w14:paraId="7A62A674"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Новосибирск</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w:t>
      </w:r>
      <w:r w:rsidRPr="0047096B">
        <w:rPr>
          <w:rFonts w:ascii="Courier New" w:eastAsia="Times New Roman" w:hAnsi="Courier New" w:cs="Times New Roman"/>
          <w:b/>
          <w:bCs/>
          <w:w w:val="70"/>
          <w:kern w:val="0"/>
          <w:sz w:val="31"/>
          <w:szCs w:val="31"/>
          <w:lang w:eastAsia="ru-RU"/>
        </w:rPr>
        <w:t xml:space="preserve"> 2013 </w:t>
      </w:r>
    </w:p>
    <w:p w14:paraId="3598B849"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ОГЛАВЛЕНИЕ</w:t>
      </w:r>
    </w:p>
    <w:p w14:paraId="3EE2A402"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ВВЕДЕНИЕ</w:t>
      </w:r>
      <w:r w:rsidRPr="0047096B">
        <w:rPr>
          <w:rFonts w:ascii="Courier New" w:eastAsia="Times New Roman" w:hAnsi="Courier New" w:cs="Times New Roman"/>
          <w:b/>
          <w:bCs/>
          <w:w w:val="70"/>
          <w:kern w:val="0"/>
          <w:sz w:val="31"/>
          <w:szCs w:val="31"/>
          <w:lang w:eastAsia="ru-RU"/>
        </w:rPr>
        <w:tab/>
        <w:t>3</w:t>
      </w:r>
    </w:p>
    <w:p w14:paraId="17BAB240"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1.</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ВЛИЯНИЕ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ПРОЦЕССЫ</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p>
    <w:p w14:paraId="70550CB3"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ЭКОНОМИЧЕСКОГО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РАЗВИТИЯ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ВОСТОЧНОЙ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СИБИРИ</w:t>
      </w:r>
      <w:r w:rsidRPr="0047096B">
        <w:rPr>
          <w:rFonts w:ascii="Courier New" w:eastAsia="Times New Roman" w:hAnsi="Courier New" w:cs="Times New Roman"/>
          <w:b/>
          <w:bCs/>
          <w:w w:val="70"/>
          <w:kern w:val="0"/>
          <w:sz w:val="31"/>
          <w:szCs w:val="31"/>
          <w:lang w:eastAsia="ru-RU"/>
        </w:rPr>
        <w:tab/>
        <w:t>17</w:t>
      </w:r>
    </w:p>
    <w:p w14:paraId="09D52BDD"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1.1.</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Особенности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формирования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развития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сектора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регионах</w:t>
      </w:r>
    </w:p>
    <w:p w14:paraId="52006213"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Восточной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Сибири</w:t>
      </w:r>
      <w:r w:rsidRPr="0047096B">
        <w:rPr>
          <w:rFonts w:ascii="Courier New" w:eastAsia="Times New Roman" w:hAnsi="Courier New" w:cs="Times New Roman"/>
          <w:b/>
          <w:bCs/>
          <w:w w:val="70"/>
          <w:kern w:val="0"/>
          <w:sz w:val="31"/>
          <w:szCs w:val="31"/>
          <w:lang w:eastAsia="ru-RU"/>
        </w:rPr>
        <w:tab/>
        <w:t>17</w:t>
      </w:r>
    </w:p>
    <w:p w14:paraId="73BF53DB"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1.2.</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Современная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ситуация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проблемы</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lastRenderedPageBreak/>
        <w:t>регионах</w:t>
      </w:r>
    </w:p>
    <w:p w14:paraId="0E00FA6A"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Восточной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Сибири</w:t>
      </w:r>
      <w:r w:rsidRPr="0047096B">
        <w:rPr>
          <w:rFonts w:ascii="Courier New" w:eastAsia="Times New Roman" w:hAnsi="Courier New" w:cs="Times New Roman"/>
          <w:b/>
          <w:bCs/>
          <w:w w:val="70"/>
          <w:kern w:val="0"/>
          <w:sz w:val="31"/>
          <w:szCs w:val="31"/>
          <w:lang w:eastAsia="ru-RU"/>
        </w:rPr>
        <w:tab/>
        <w:t>22</w:t>
      </w:r>
    </w:p>
    <w:p w14:paraId="56935FBE"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1.3.</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экономические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эффекты</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от</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ab/>
        <w:t>30</w:t>
      </w:r>
    </w:p>
    <w:p w14:paraId="6ECCCE71"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1.3.1.</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Основные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направления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влияния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региональную</w:t>
      </w:r>
    </w:p>
    <w:p w14:paraId="4218BDC3"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экономическую</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систему</w:t>
      </w:r>
      <w:r w:rsidRPr="0047096B">
        <w:rPr>
          <w:rFonts w:ascii="Courier New" w:eastAsia="Times New Roman" w:hAnsi="Courier New" w:cs="Times New Roman"/>
          <w:b/>
          <w:bCs/>
          <w:w w:val="70"/>
          <w:kern w:val="0"/>
          <w:sz w:val="31"/>
          <w:szCs w:val="31"/>
          <w:lang w:eastAsia="ru-RU"/>
        </w:rPr>
        <w:tab/>
        <w:t>30</w:t>
      </w:r>
    </w:p>
    <w:p w14:paraId="4A34AD4B"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1.3.2.</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Проблема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региональной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локализации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экономических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эффектов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при</w:t>
      </w:r>
    </w:p>
    <w:p w14:paraId="61E8ECB6"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ab/>
        <w:t>37</w:t>
      </w:r>
    </w:p>
    <w:p w14:paraId="3FCDF37C"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1.3.3.</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Зарубежный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опыт</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управления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ресурсами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целях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повышения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p>
    <w:p w14:paraId="5B02AF11"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экономической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отдачи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освоения</w:t>
      </w:r>
      <w:r w:rsidRPr="0047096B">
        <w:rPr>
          <w:rFonts w:ascii="Courier New" w:eastAsia="Times New Roman" w:hAnsi="Courier New" w:cs="Times New Roman"/>
          <w:b/>
          <w:bCs/>
          <w:w w:val="70"/>
          <w:kern w:val="0"/>
          <w:sz w:val="31"/>
          <w:szCs w:val="31"/>
          <w:lang w:eastAsia="ru-RU"/>
        </w:rPr>
        <w:tab/>
        <w:t>40</w:t>
      </w:r>
    </w:p>
    <w:p w14:paraId="110302E9"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2.</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МЕТОДИЧЕСКИЙ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ПОДХОД</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ОЦЕНКЕ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ВЛИЯНИЯ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p>
    <w:p w14:paraId="3B934F0E"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ЭКОНОМИЧЕСКОЕ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РАЗВИТИЕ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РЕГИОНА</w:t>
      </w:r>
      <w:r w:rsidRPr="0047096B">
        <w:rPr>
          <w:rFonts w:ascii="Courier New" w:eastAsia="Times New Roman" w:hAnsi="Courier New" w:cs="Times New Roman"/>
          <w:b/>
          <w:bCs/>
          <w:w w:val="70"/>
          <w:kern w:val="0"/>
          <w:sz w:val="31"/>
          <w:szCs w:val="31"/>
          <w:lang w:eastAsia="ru-RU"/>
        </w:rPr>
        <w:tab/>
        <w:t>46</w:t>
      </w:r>
    </w:p>
    <w:p w14:paraId="1D4C9E96"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2.1.</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Анализ</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подходов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оценке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влияния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w:t>
      </w:r>
    </w:p>
    <w:p w14:paraId="1F6C9372"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экономическое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развитие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регионов</w:t>
      </w:r>
      <w:r w:rsidRPr="0047096B">
        <w:rPr>
          <w:rFonts w:ascii="Courier New" w:eastAsia="Times New Roman" w:hAnsi="Courier New" w:cs="Times New Roman"/>
          <w:b/>
          <w:bCs/>
          <w:w w:val="70"/>
          <w:kern w:val="0"/>
          <w:sz w:val="31"/>
          <w:szCs w:val="31"/>
          <w:lang w:eastAsia="ru-RU"/>
        </w:rPr>
        <w:tab/>
        <w:t>46</w:t>
      </w:r>
    </w:p>
    <w:p w14:paraId="236143AC"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2.2.</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Характеристика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разработанного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методического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подхода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оценке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региональных</w:t>
      </w:r>
    </w:p>
    <w:p w14:paraId="656DED5B"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экономических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воздействий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ab/>
        <w:t>67</w:t>
      </w:r>
    </w:p>
    <w:p w14:paraId="4537AE06"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2.2.1.</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Обоснование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выбора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математического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метода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моделирования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w:t>
      </w:r>
    </w:p>
    <w:p w14:paraId="041C0096"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характеристика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модели</w:t>
      </w:r>
      <w:r w:rsidRPr="0047096B">
        <w:rPr>
          <w:rFonts w:ascii="Courier New" w:eastAsia="Times New Roman" w:hAnsi="Courier New" w:cs="Times New Roman"/>
          <w:b/>
          <w:bCs/>
          <w:w w:val="70"/>
          <w:kern w:val="0"/>
          <w:sz w:val="31"/>
          <w:szCs w:val="31"/>
          <w:lang w:eastAsia="ru-RU"/>
        </w:rPr>
        <w:tab/>
        <w:t>67</w:t>
      </w:r>
    </w:p>
    <w:p w14:paraId="414F3D41"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2.2.2.</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Архитектура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принципы</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построения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модели</w:t>
      </w:r>
      <w:r w:rsidRPr="0047096B">
        <w:rPr>
          <w:rFonts w:ascii="Courier New" w:eastAsia="Times New Roman" w:hAnsi="Courier New" w:cs="Times New Roman"/>
          <w:b/>
          <w:bCs/>
          <w:w w:val="70"/>
          <w:kern w:val="0"/>
          <w:sz w:val="31"/>
          <w:szCs w:val="31"/>
          <w:lang w:eastAsia="ru-RU"/>
        </w:rPr>
        <w:tab/>
        <w:t>74</w:t>
      </w:r>
    </w:p>
    <w:p w14:paraId="17EDBA63"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3.</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РЕЗУЛЬТАТЫ</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ОЦЕНКИ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ЭКОНОМИЧЕСКИХ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ЭФФЕКТОВ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ПРИ</w:t>
      </w:r>
    </w:p>
    <w:p w14:paraId="16141E4A"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ПРИМЕРЕ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КРАСНОЯРСКОГО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КРАЯ</w:t>
      </w:r>
      <w:r w:rsidRPr="0047096B">
        <w:rPr>
          <w:rFonts w:ascii="Courier New" w:eastAsia="Times New Roman" w:hAnsi="Courier New" w:cs="Times New Roman"/>
          <w:b/>
          <w:bCs/>
          <w:w w:val="70"/>
          <w:kern w:val="0"/>
          <w:sz w:val="31"/>
          <w:szCs w:val="31"/>
          <w:lang w:eastAsia="ru-RU"/>
        </w:rPr>
        <w:tab/>
        <w:t>80</w:t>
      </w:r>
    </w:p>
    <w:p w14:paraId="1CDACAD0"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3.1.</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Характеристика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r w:rsidRPr="0047096B">
        <w:rPr>
          <w:rFonts w:ascii="Courier New" w:eastAsia="Times New Roman" w:hAnsi="Courier New" w:cs="Times New Roman" w:hint="eastAsia"/>
          <w:b/>
          <w:bCs/>
          <w:w w:val="70"/>
          <w:kern w:val="0"/>
          <w:sz w:val="31"/>
          <w:szCs w:val="31"/>
          <w:lang w:eastAsia="ru-RU"/>
        </w:rPr>
        <w:t>экономического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положения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Красноярского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края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как</w:t>
      </w:r>
    </w:p>
    <w:p w14:paraId="10A33D72"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региона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ab/>
        <w:t>80</w:t>
      </w:r>
    </w:p>
    <w:p w14:paraId="6178F483"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3.2.</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Исходные</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предпосылки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для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построения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сценариев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развития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добычи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нефти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lastRenderedPageBreak/>
        <w:t>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газа</w:t>
      </w:r>
    </w:p>
    <w:p w14:paraId="784924F8"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Красноярском</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крае</w:t>
      </w:r>
      <w:r w:rsidRPr="0047096B">
        <w:rPr>
          <w:rFonts w:ascii="Courier New" w:eastAsia="Times New Roman" w:hAnsi="Courier New" w:cs="Times New Roman"/>
          <w:b/>
          <w:bCs/>
          <w:w w:val="70"/>
          <w:kern w:val="0"/>
          <w:sz w:val="31"/>
          <w:szCs w:val="31"/>
          <w:lang w:eastAsia="ru-RU"/>
        </w:rPr>
        <w:tab/>
        <w:t>94</w:t>
      </w:r>
    </w:p>
    <w:p w14:paraId="291C4710"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3.3.</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Сравнительная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оценка</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сценариев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локализации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эффектов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реализации</w:t>
      </w:r>
    </w:p>
    <w:p w14:paraId="3CDF0C27"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нефтегазовых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проектов</w:t>
      </w:r>
      <w:r w:rsidRPr="0047096B">
        <w:rPr>
          <w:rFonts w:ascii="Courier New" w:eastAsia="Times New Roman" w:hAnsi="Courier New" w:cs="Times New Roman"/>
          <w:b/>
          <w:bCs/>
          <w:w w:val="70"/>
          <w:kern w:val="0"/>
          <w:sz w:val="31"/>
          <w:szCs w:val="31"/>
          <w:lang w:eastAsia="ru-RU"/>
        </w:rPr>
        <w:tab/>
        <w:t>97</w:t>
      </w:r>
    </w:p>
    <w:p w14:paraId="53E1F7C1"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3.4.</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Анализ</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условий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необходимых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для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реализации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сформированных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сценариев</w:t>
      </w:r>
      <w:r w:rsidRPr="0047096B">
        <w:rPr>
          <w:rFonts w:ascii="Courier New" w:eastAsia="Times New Roman" w:hAnsi="Courier New" w:cs="Times New Roman"/>
          <w:b/>
          <w:bCs/>
          <w:w w:val="70"/>
          <w:kern w:val="0"/>
          <w:sz w:val="31"/>
          <w:szCs w:val="31"/>
          <w:lang w:eastAsia="ru-RU"/>
        </w:rPr>
        <w:tab/>
        <w:t>113</w:t>
      </w:r>
    </w:p>
    <w:p w14:paraId="1EEA7ACF"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b/>
          <w:bCs/>
          <w:w w:val="70"/>
          <w:kern w:val="0"/>
          <w:sz w:val="31"/>
          <w:szCs w:val="31"/>
          <w:lang w:eastAsia="ru-RU"/>
        </w:rPr>
        <w:t>3.5.</w:t>
      </w:r>
      <w:r w:rsidRPr="0047096B">
        <w:rPr>
          <w:rFonts w:ascii="Courier New" w:eastAsia="Times New Roman" w:hAnsi="Courier New" w:cs="Times New Roman"/>
          <w:b/>
          <w:bCs/>
          <w:w w:val="70"/>
          <w:kern w:val="0"/>
          <w:sz w:val="31"/>
          <w:szCs w:val="31"/>
          <w:lang w:eastAsia="ru-RU"/>
        </w:rPr>
        <w:tab/>
      </w:r>
      <w:r w:rsidRPr="0047096B">
        <w:rPr>
          <w:rFonts w:ascii="Courier New" w:eastAsia="Times New Roman" w:hAnsi="Courier New" w:cs="Times New Roman" w:hint="eastAsia"/>
          <w:b/>
          <w:bCs/>
          <w:w w:val="70"/>
          <w:kern w:val="0"/>
          <w:sz w:val="31"/>
          <w:szCs w:val="31"/>
          <w:lang w:eastAsia="ru-RU"/>
        </w:rPr>
        <w:t>Рекомендации</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по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созданию</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необходимых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условий</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для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обеспечения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социально</w:t>
      </w:r>
      <w:r w:rsidRPr="0047096B">
        <w:rPr>
          <w:rFonts w:ascii="Courier New" w:eastAsia="Times New Roman" w:hAnsi="Courier New" w:cs="Times New Roman"/>
          <w:b/>
          <w:bCs/>
          <w:w w:val="70"/>
          <w:kern w:val="0"/>
          <w:sz w:val="31"/>
          <w:szCs w:val="31"/>
          <w:lang w:eastAsia="ru-RU"/>
        </w:rPr>
        <w:t>-</w:t>
      </w:r>
    </w:p>
    <w:p w14:paraId="24762CEB"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экономических</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эффектов</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от</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освоения</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ресурсов</w:t>
      </w:r>
      <w:r w:rsidRPr="0047096B">
        <w:rPr>
          <w:rFonts w:ascii="Courier New" w:eastAsia="Times New Roman" w:hAnsi="Courier New" w:cs="Times New Roman"/>
          <w:b/>
          <w:bCs/>
          <w:w w:val="70"/>
          <w:kern w:val="0"/>
          <w:sz w:val="31"/>
          <w:szCs w:val="31"/>
          <w:lang w:eastAsia="ru-RU"/>
        </w:rPr>
        <w:tab/>
        <w:t>116</w:t>
      </w:r>
    </w:p>
    <w:p w14:paraId="64A6056A"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ЗАКЛЮЧЕНИЕ</w:t>
      </w:r>
      <w:r w:rsidRPr="0047096B">
        <w:rPr>
          <w:rFonts w:ascii="Courier New" w:eastAsia="Times New Roman" w:hAnsi="Courier New" w:cs="Times New Roman"/>
          <w:b/>
          <w:bCs/>
          <w:w w:val="70"/>
          <w:kern w:val="0"/>
          <w:sz w:val="31"/>
          <w:szCs w:val="31"/>
          <w:lang w:eastAsia="ru-RU"/>
        </w:rPr>
        <w:tab/>
        <w:t>120</w:t>
      </w:r>
    </w:p>
    <w:p w14:paraId="502AAFBD"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СПИСОК</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ЛИТЕРАТУРЫ</w:t>
      </w:r>
      <w:r w:rsidRPr="0047096B">
        <w:rPr>
          <w:rFonts w:ascii="Courier New" w:eastAsia="Times New Roman" w:hAnsi="Courier New" w:cs="Times New Roman"/>
          <w:b/>
          <w:bCs/>
          <w:w w:val="70"/>
          <w:kern w:val="0"/>
          <w:sz w:val="31"/>
          <w:szCs w:val="31"/>
          <w:lang w:eastAsia="ru-RU"/>
        </w:rPr>
        <w:tab/>
        <w:t>124</w:t>
      </w:r>
    </w:p>
    <w:p w14:paraId="10A4C5A6"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СПИСОК</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ИЛЛЮСТРАТИВНОГО</w:t>
      </w:r>
      <w:r w:rsidRPr="0047096B">
        <w:rPr>
          <w:rFonts w:ascii="Courier New" w:eastAsia="Times New Roman" w:hAnsi="Courier New" w:cs="Times New Roman"/>
          <w:b/>
          <w:bCs/>
          <w:w w:val="70"/>
          <w:kern w:val="0"/>
          <w:sz w:val="31"/>
          <w:szCs w:val="31"/>
          <w:lang w:eastAsia="ru-RU"/>
        </w:rPr>
        <w:t xml:space="preserve"> </w:t>
      </w:r>
      <w:r w:rsidRPr="0047096B">
        <w:rPr>
          <w:rFonts w:ascii="Courier New" w:eastAsia="Times New Roman" w:hAnsi="Courier New" w:cs="Times New Roman" w:hint="eastAsia"/>
          <w:b/>
          <w:bCs/>
          <w:w w:val="70"/>
          <w:kern w:val="0"/>
          <w:sz w:val="31"/>
          <w:szCs w:val="31"/>
          <w:lang w:eastAsia="ru-RU"/>
        </w:rPr>
        <w:t>МАТЕРИАЛА</w:t>
      </w:r>
      <w:r w:rsidRPr="0047096B">
        <w:rPr>
          <w:rFonts w:ascii="Courier New" w:eastAsia="Times New Roman" w:hAnsi="Courier New" w:cs="Times New Roman"/>
          <w:b/>
          <w:bCs/>
          <w:w w:val="70"/>
          <w:kern w:val="0"/>
          <w:sz w:val="31"/>
          <w:szCs w:val="31"/>
          <w:lang w:eastAsia="ru-RU"/>
        </w:rPr>
        <w:tab/>
        <w:t>137</w:t>
      </w:r>
    </w:p>
    <w:p w14:paraId="1C3F1892" w14:textId="77777777" w:rsidR="0047096B" w:rsidRPr="0047096B" w:rsidRDefault="0047096B" w:rsidP="0047096B">
      <w:pPr>
        <w:rPr>
          <w:rFonts w:ascii="Courier New" w:eastAsia="Times New Roman" w:hAnsi="Courier New" w:cs="Times New Roman"/>
          <w:b/>
          <w:bCs/>
          <w:w w:val="70"/>
          <w:kern w:val="0"/>
          <w:sz w:val="31"/>
          <w:szCs w:val="31"/>
          <w:lang w:eastAsia="ru-RU"/>
        </w:rPr>
      </w:pPr>
      <w:r w:rsidRPr="0047096B">
        <w:rPr>
          <w:rFonts w:ascii="Courier New" w:eastAsia="Times New Roman" w:hAnsi="Courier New" w:cs="Times New Roman" w:hint="eastAsia"/>
          <w:b/>
          <w:bCs/>
          <w:w w:val="70"/>
          <w:kern w:val="0"/>
          <w:sz w:val="31"/>
          <w:szCs w:val="31"/>
          <w:lang w:eastAsia="ru-RU"/>
        </w:rPr>
        <w:t>ПРИЛОЖЕНИЯ</w:t>
      </w:r>
      <w:r w:rsidRPr="0047096B">
        <w:rPr>
          <w:rFonts w:ascii="Courier New" w:eastAsia="Times New Roman" w:hAnsi="Courier New" w:cs="Times New Roman"/>
          <w:b/>
          <w:bCs/>
          <w:w w:val="70"/>
          <w:kern w:val="0"/>
          <w:sz w:val="31"/>
          <w:szCs w:val="31"/>
          <w:lang w:eastAsia="ru-RU"/>
        </w:rPr>
        <w:tab/>
        <w:t xml:space="preserve">140 </w:t>
      </w:r>
    </w:p>
    <w:p w14:paraId="6FD4A64C" w14:textId="3B9E5369" w:rsidR="0068650C" w:rsidRDefault="0068650C" w:rsidP="0047096B"/>
    <w:p w14:paraId="43F2A9BA" w14:textId="11A7486A" w:rsidR="0047096B" w:rsidRDefault="0047096B" w:rsidP="0047096B"/>
    <w:p w14:paraId="5991C699" w14:textId="487CCF59" w:rsidR="0047096B" w:rsidRDefault="0047096B" w:rsidP="0047096B"/>
    <w:p w14:paraId="559C5F78" w14:textId="77777777" w:rsidR="0047096B" w:rsidRPr="0047096B" w:rsidRDefault="0047096B" w:rsidP="0047096B">
      <w:pPr>
        <w:keepNext/>
        <w:keepLines/>
        <w:tabs>
          <w:tab w:val="clear" w:pos="709"/>
        </w:tabs>
        <w:suppressAutoHyphens w:val="0"/>
        <w:spacing w:after="1075" w:line="210" w:lineRule="exact"/>
        <w:ind w:left="20" w:firstLine="0"/>
        <w:jc w:val="center"/>
        <w:outlineLvl w:val="1"/>
        <w:rPr>
          <w:rFonts w:ascii="Times New Roman" w:eastAsia="Times New Roman" w:hAnsi="Times New Roman" w:cs="Times New Roman"/>
          <w:b/>
          <w:bCs/>
          <w:kern w:val="0"/>
          <w:sz w:val="21"/>
          <w:szCs w:val="21"/>
          <w:lang w:eastAsia="ru-RU"/>
        </w:rPr>
      </w:pPr>
      <w:bookmarkStart w:id="0" w:name="bookmark17"/>
      <w:r w:rsidRPr="0047096B">
        <w:rPr>
          <w:rFonts w:ascii="Times New Roman" w:eastAsia="Times New Roman" w:hAnsi="Times New Roman" w:cs="Times New Roman"/>
          <w:b/>
          <w:bCs/>
          <w:color w:val="000000"/>
          <w:kern w:val="0"/>
          <w:sz w:val="21"/>
          <w:szCs w:val="21"/>
          <w:shd w:val="clear" w:color="auto" w:fill="FFFFFF"/>
          <w:lang w:eastAsia="ru-RU"/>
        </w:rPr>
        <w:t>ЗАКЛЮЧЕНИЕ</w:t>
      </w:r>
      <w:bookmarkEnd w:id="0"/>
    </w:p>
    <w:p w14:paraId="6B076D8F" w14:textId="77777777" w:rsidR="0047096B" w:rsidRPr="0047096B" w:rsidRDefault="0047096B" w:rsidP="0047096B">
      <w:pPr>
        <w:tabs>
          <w:tab w:val="clear" w:pos="709"/>
        </w:tabs>
        <w:suppressAutoHyphens w:val="0"/>
        <w:spacing w:after="0" w:line="359" w:lineRule="exact"/>
        <w:ind w:firstLine="260"/>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Выполненное автором исследование позволяет сделать ряд выводов, имеющих методическое и практическое значение.</w:t>
      </w:r>
    </w:p>
    <w:p w14:paraId="17030787" w14:textId="77777777" w:rsidR="0047096B" w:rsidRPr="0047096B" w:rsidRDefault="0047096B" w:rsidP="0047096B">
      <w:pPr>
        <w:numPr>
          <w:ilvl w:val="0"/>
          <w:numId w:val="48"/>
        </w:numPr>
        <w:tabs>
          <w:tab w:val="clear" w:pos="0"/>
          <w:tab w:val="clear" w:pos="709"/>
          <w:tab w:val="left" w:pos="544"/>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В масштабах национальной экономики регионы Восточной Сибири, на территории которых в последние годы началась реализация ряда проектов по добыче ресурсов УВС, обеспечивают основной прирост добычи нефти, формируя значительные объемы экспорта, генерируя таможенные и налоговые поступления в федеральный и региональный бюджеты. В то же самое время процесс освоения ресурсов УВС и формирование специализированной инфраструктуры происходит во многом автономно от региональных процессов социально-экономического развития, не используя в полной мере местный производственно-технический потенциал.</w:t>
      </w:r>
    </w:p>
    <w:p w14:paraId="6A449431" w14:textId="77777777" w:rsidR="0047096B" w:rsidRPr="0047096B" w:rsidRDefault="0047096B" w:rsidP="0047096B">
      <w:pPr>
        <w:numPr>
          <w:ilvl w:val="0"/>
          <w:numId w:val="48"/>
        </w:numPr>
        <w:tabs>
          <w:tab w:val="clear" w:pos="0"/>
          <w:tab w:val="clear" w:pos="709"/>
          <w:tab w:val="left" w:pos="544"/>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 xml:space="preserve">Формирующийся в регионах Восточной Сибири НГС представляет собой совокупность нескольких десятков точечных проектов в сфере добычи УВС. Помимо объективно обусловленных (географических, геологических, инфраструктурных, технологических факторов), итоговые характеристики проектов зависят от внешних институциональных условий, которые определяют организационно-экономические рамки процесса разработки ресурсов УВС. В этих условиях региональные налоговые доходы от реализации проектов </w:t>
      </w:r>
      <w:r w:rsidRPr="0047096B">
        <w:rPr>
          <w:rFonts w:ascii="Times New Roman" w:eastAsia="Times New Roman" w:hAnsi="Times New Roman" w:cs="Times New Roman"/>
          <w:color w:val="000000"/>
          <w:kern w:val="0"/>
          <w:sz w:val="21"/>
          <w:szCs w:val="21"/>
          <w:shd w:val="clear" w:color="auto" w:fill="FFFFFF"/>
          <w:lang w:eastAsia="ru-RU"/>
        </w:rPr>
        <w:lastRenderedPageBreak/>
        <w:t>находятся под влиянием таможенной и налоговой политики федерального центра и применения организационных и финансовых схем в рамках внутрикорпоративных трансакций.</w:t>
      </w:r>
    </w:p>
    <w:p w14:paraId="63F606F2" w14:textId="77777777" w:rsidR="0047096B" w:rsidRPr="0047096B" w:rsidRDefault="0047096B" w:rsidP="0047096B">
      <w:pPr>
        <w:numPr>
          <w:ilvl w:val="0"/>
          <w:numId w:val="48"/>
        </w:numPr>
        <w:tabs>
          <w:tab w:val="clear" w:pos="0"/>
          <w:tab w:val="clear" w:pos="709"/>
          <w:tab w:val="left" w:pos="544"/>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Помимо прямых эффектов, ограничивающихся триадой «нефть — налоги — рабочие места», социально-экономические эффекты новых проектов в регионах Восточной Сибири во многом зависят от степени косвенного влияния нефтегазовой промышленности на развитие смежных, обслуживающих и обеспечивающих отраслей с последующими социальными эффектами. В региональном разрезе косвенные эффекты находятся в прямой зависимости от степени локализации на территории освоения капитальных и эксплуатационных издержек нефтегазовых компаний. Что в свою очередь требует разработки механизмов встраивания проектов в систему региональных производственных связей в целях повышения социально-экономической отдачи от освоения ресурсов нефти и газа.</w:t>
      </w:r>
    </w:p>
    <w:p w14:paraId="70756860" w14:textId="77777777" w:rsidR="0047096B" w:rsidRPr="0047096B" w:rsidRDefault="0047096B" w:rsidP="0047096B">
      <w:pPr>
        <w:numPr>
          <w:ilvl w:val="0"/>
          <w:numId w:val="48"/>
        </w:numPr>
        <w:tabs>
          <w:tab w:val="clear" w:pos="0"/>
          <w:tab w:val="clear" w:pos="709"/>
          <w:tab w:val="left" w:pos="539"/>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Накопленный зарубежный опыт управления проектами в сфере добычи УВС свидетельствует о ведущей роли государства в формировании условий, направленных на повышение уровня мультипликативных воздействий от реализуемых проектов, обеспечение занятости, поддержание инвестиционной активности и стимулирование технологического прогресса в отрасли.</w:t>
      </w:r>
    </w:p>
    <w:p w14:paraId="63320B61" w14:textId="77777777" w:rsidR="0047096B" w:rsidRPr="0047096B" w:rsidRDefault="0047096B" w:rsidP="0047096B">
      <w:pPr>
        <w:numPr>
          <w:ilvl w:val="0"/>
          <w:numId w:val="48"/>
        </w:numPr>
        <w:tabs>
          <w:tab w:val="clear" w:pos="0"/>
          <w:tab w:val="clear" w:pos="709"/>
          <w:tab w:val="left" w:pos="539"/>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Разработанные к настоящему времени методические подходы, применяющиеся для оценки различных направлений реализации нефтегазовых проектов с учетом региональных социально-экономических воздействий, не позволяют в полной мере решать задачи, связанные с анализом косвенного влияния проектов на экономику региона в зависимости от степени и направлений использования региональных производственных ресурсов. Разработанные в России и за рубежом подходы имеют, как правило, общий недостаток, связанный с трудностями обеспечения исходной информацией, что существенно ограничивает возможности практического применения для решения задач регионального управления.</w:t>
      </w:r>
    </w:p>
    <w:p w14:paraId="11EB86A5" w14:textId="77777777" w:rsidR="0047096B" w:rsidRPr="0047096B" w:rsidRDefault="0047096B" w:rsidP="0047096B">
      <w:pPr>
        <w:numPr>
          <w:ilvl w:val="0"/>
          <w:numId w:val="48"/>
        </w:numPr>
        <w:tabs>
          <w:tab w:val="clear" w:pos="0"/>
          <w:tab w:val="clear" w:pos="709"/>
          <w:tab w:val="left" w:pos="539"/>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Важнейшей особенностью разработанного автором подхода, в основе которого лежит имитационная статистическая модель ситуационного прогнозирования, является возможность оценки социально-экономических эффектов нефтегазовых проектов в зависимости от масштабов и глубины локализации капитальных и эксплуатационных издержек нефтегазовых компаний в регионе добычи. Специфика данного подхода делает возможным его использование в информационно-аналитических системах и системах поддержки принятия решений по стратегическим вопросам социально-экономического развития регионов, на территории которых реализуются нефтегазовые проекты.</w:t>
      </w:r>
    </w:p>
    <w:p w14:paraId="13992BD4" w14:textId="77777777" w:rsidR="0047096B" w:rsidRPr="0047096B" w:rsidRDefault="0047096B" w:rsidP="0047096B">
      <w:pPr>
        <w:numPr>
          <w:ilvl w:val="0"/>
          <w:numId w:val="48"/>
        </w:numPr>
        <w:tabs>
          <w:tab w:val="clear" w:pos="0"/>
          <w:tab w:val="clear" w:pos="709"/>
          <w:tab w:val="left" w:pos="532"/>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Выполненные с применением построенной модели расчеты по оценке региональных социально-экономических эффектов при осуществлении нефтегазовых проектов на территории Красноярского края показали, что при сохранении существующей сегодня модели освоения нефтегазовых ресурсов в Восточной Сибири, генерируемые социально-экономические эффекты от реализуемых проектов не позволяют добиться существенного ускорения темпов экономического развития региона. Невысокая социально-экономическая эффективность освоения ресурсов УВС края обусловлена следующими основными причинами:</w:t>
      </w:r>
    </w:p>
    <w:p w14:paraId="76332D38" w14:textId="77777777" w:rsidR="0047096B" w:rsidRPr="0047096B" w:rsidRDefault="0047096B" w:rsidP="0047096B">
      <w:pPr>
        <w:numPr>
          <w:ilvl w:val="0"/>
          <w:numId w:val="49"/>
        </w:numPr>
        <w:tabs>
          <w:tab w:val="clear" w:pos="720"/>
          <w:tab w:val="left" w:pos="532"/>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технологическими и организационными особенностями новых проектов с одной стороны;</w:t>
      </w:r>
    </w:p>
    <w:p w14:paraId="245AA8F1" w14:textId="77777777" w:rsidR="0047096B" w:rsidRPr="0047096B" w:rsidRDefault="0047096B" w:rsidP="0047096B">
      <w:pPr>
        <w:numPr>
          <w:ilvl w:val="0"/>
          <w:numId w:val="49"/>
        </w:numPr>
        <w:tabs>
          <w:tab w:val="clear" w:pos="720"/>
          <w:tab w:val="left" w:pos="532"/>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низким уровнем готовности промышленных предприятий региона к обеспечению потребностей нефтегазовой отрасли в оборудовании и материалах, инновационных технико-технологических решениях с другой стороны;</w:t>
      </w:r>
    </w:p>
    <w:p w14:paraId="450FF919" w14:textId="77777777" w:rsidR="0047096B" w:rsidRPr="0047096B" w:rsidRDefault="0047096B" w:rsidP="0047096B">
      <w:pPr>
        <w:numPr>
          <w:ilvl w:val="0"/>
          <w:numId w:val="49"/>
        </w:numPr>
        <w:tabs>
          <w:tab w:val="clear" w:pos="720"/>
          <w:tab w:val="left" w:pos="532"/>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и, как следствие, слабой степенью вовлеченности реализуемых проектов в региональную социально-экономическую систему.</w:t>
      </w:r>
    </w:p>
    <w:p w14:paraId="10D3FBDE" w14:textId="77777777" w:rsidR="0047096B" w:rsidRPr="0047096B" w:rsidRDefault="0047096B" w:rsidP="0047096B">
      <w:pPr>
        <w:numPr>
          <w:ilvl w:val="0"/>
          <w:numId w:val="48"/>
        </w:numPr>
        <w:tabs>
          <w:tab w:val="clear" w:pos="0"/>
          <w:tab w:val="clear" w:pos="709"/>
          <w:tab w:val="left" w:pos="532"/>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lastRenderedPageBreak/>
        <w:t>Выполненные расчеты позволяют сделать вывод о том, что повышение степени локализации эффектов от реализуемых на территории края нефтегазовых проектов через механизмы мультипликативного воздействия на прочие сектора региональной экономики способно оказать положительное влияние на основные социально-экономические показатели Красноярского края. Увеличение уровня локализации спроса нефтегазового сектора на продукцию обеспечивающих отраслей — в частности, продукцию машиностроения и привлечение местных подрядных строительных организаций — позволяет за счет формирования эффективных производственных цепочек добиться роста ВДС в обеспечивающих отраслях региональной экономики и повысить темпы экономического роста. Тем не менее, ориентация на получение мультипликативных воздействий от развития собственно НГС не является надежной основой для роста экономики края в долгосрочной перспективе, т.к. по мере замедления темпов роста добычи нефти и газа, действие названных выше факторов будет постепенно уменьшаться, что потребует поиска дополнительных точек роста региональной экономики.</w:t>
      </w:r>
    </w:p>
    <w:p w14:paraId="2F722793" w14:textId="77777777" w:rsidR="0047096B" w:rsidRPr="0047096B" w:rsidRDefault="0047096B" w:rsidP="0047096B">
      <w:pPr>
        <w:numPr>
          <w:ilvl w:val="0"/>
          <w:numId w:val="48"/>
        </w:numPr>
        <w:tabs>
          <w:tab w:val="clear" w:pos="0"/>
          <w:tab w:val="clear" w:pos="709"/>
          <w:tab w:val="left" w:pos="536"/>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Формирование условий, необходимых для обеспечения локализации социально-экономических эффектов от реализации проектов в НГС, требует усиления роли государства в отрасли, в том числе расширение компетенций региональных органов власти в вопросах регулирования недропользования, выполнения координирующих и контрольных функций, проведения последовательной научно-технической политики, включая защиту местных промышленных, сервисных и инновационных компаний.</w:t>
      </w:r>
    </w:p>
    <w:p w14:paraId="49650785" w14:textId="77777777" w:rsidR="0047096B" w:rsidRPr="0047096B" w:rsidRDefault="0047096B" w:rsidP="0047096B">
      <w:pPr>
        <w:numPr>
          <w:ilvl w:val="0"/>
          <w:numId w:val="48"/>
        </w:numPr>
        <w:tabs>
          <w:tab w:val="clear" w:pos="0"/>
          <w:tab w:val="clear" w:pos="709"/>
          <w:tab w:val="left" w:pos="611"/>
        </w:tabs>
        <w:suppressAutoHyphens w:val="0"/>
        <w:spacing w:after="0" w:line="359" w:lineRule="exact"/>
        <w:ind w:left="0" w:firstLine="26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Разработанный в рамках настоящего исследования подход позволяет оценить возможные эффекты от усложнения структуры региональной экономики за счет развития обслуживающих НГС отраслей в части производства технически сложной продукции и оказания сервисных услуг. При этом следует учитывать перспективы развития отрасли — реализацию проектов по добыче и переработке сырья — в регионах Восточной Сибири. Поэтому одним из направлений дальнейших исследований является поэтапный анализ возможностей и эффектов от создания на территории средств производства:</w:t>
      </w:r>
    </w:p>
    <w:p w14:paraId="43DE6058" w14:textId="77777777" w:rsidR="0047096B" w:rsidRPr="0047096B" w:rsidRDefault="0047096B" w:rsidP="0047096B">
      <w:pPr>
        <w:numPr>
          <w:ilvl w:val="0"/>
          <w:numId w:val="49"/>
        </w:numPr>
        <w:tabs>
          <w:tab w:val="clear" w:pos="720"/>
          <w:tab w:val="left" w:pos="781"/>
        </w:tabs>
        <w:suppressAutoHyphens w:val="0"/>
        <w:spacing w:after="0" w:line="359" w:lineRule="exact"/>
        <w:ind w:left="520" w:firstLine="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на основе зарубежных технологических решений (по лицензии);</w:t>
      </w:r>
    </w:p>
    <w:p w14:paraId="4522E071" w14:textId="77777777" w:rsidR="0047096B" w:rsidRPr="0047096B" w:rsidRDefault="0047096B" w:rsidP="0047096B">
      <w:pPr>
        <w:numPr>
          <w:ilvl w:val="0"/>
          <w:numId w:val="49"/>
        </w:numPr>
        <w:tabs>
          <w:tab w:val="clear" w:pos="720"/>
          <w:tab w:val="left" w:pos="781"/>
        </w:tabs>
        <w:suppressAutoHyphens w:val="0"/>
        <w:spacing w:after="0" w:line="210" w:lineRule="exact"/>
        <w:ind w:left="520" w:firstLine="0"/>
        <w:jc w:val="left"/>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на основе собственных отечественных технологических разработок.</w:t>
      </w:r>
    </w:p>
    <w:p w14:paraId="66092C09" w14:textId="77777777" w:rsidR="0047096B" w:rsidRPr="0047096B" w:rsidRDefault="0047096B" w:rsidP="0047096B">
      <w:pPr>
        <w:tabs>
          <w:tab w:val="clear" w:pos="709"/>
        </w:tabs>
        <w:suppressAutoHyphens w:val="0"/>
        <w:spacing w:after="0" w:line="359" w:lineRule="exact"/>
        <w:ind w:firstLine="260"/>
        <w:rPr>
          <w:rFonts w:ascii="Times New Roman" w:eastAsia="Times New Roman" w:hAnsi="Times New Roman" w:cs="Times New Roman"/>
          <w:kern w:val="0"/>
          <w:sz w:val="21"/>
          <w:szCs w:val="21"/>
          <w:lang w:eastAsia="ru-RU"/>
        </w:rPr>
      </w:pPr>
      <w:r w:rsidRPr="0047096B">
        <w:rPr>
          <w:rFonts w:ascii="Times New Roman" w:eastAsia="Times New Roman" w:hAnsi="Times New Roman" w:cs="Times New Roman"/>
          <w:color w:val="000000"/>
          <w:kern w:val="0"/>
          <w:sz w:val="21"/>
          <w:szCs w:val="21"/>
          <w:shd w:val="clear" w:color="auto" w:fill="FFFFFF"/>
          <w:lang w:eastAsia="ru-RU"/>
        </w:rPr>
        <w:t>При повышении уровня конкурентоспособности товаров и услуг имеет смысл рассматривать возможности для реализации их на российском и мировом рынках. Существует возможность надстроить разработанную модель за счет включения в нее дополнительных показателей, таких как доля используемого в проекте регионального, российского и импортного оборудования, технологий; степень локализации инвестиционных программ и используемых МТР и на основе анализа этих показателей оценить потенциальные региональные социально- экономические эффекты.</w:t>
      </w:r>
    </w:p>
    <w:p w14:paraId="772B5528" w14:textId="77777777" w:rsidR="0047096B" w:rsidRPr="0047096B" w:rsidRDefault="0047096B" w:rsidP="0047096B"/>
    <w:sectPr w:rsidR="0047096B" w:rsidRPr="004709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3164" w14:textId="77777777" w:rsidR="00B4781A" w:rsidRDefault="00B4781A">
      <w:pPr>
        <w:spacing w:after="0" w:line="240" w:lineRule="auto"/>
      </w:pPr>
      <w:r>
        <w:separator/>
      </w:r>
    </w:p>
  </w:endnote>
  <w:endnote w:type="continuationSeparator" w:id="0">
    <w:p w14:paraId="4AAC14BB" w14:textId="77777777" w:rsidR="00B4781A" w:rsidRDefault="00B4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BE6C" w14:textId="77777777" w:rsidR="00B4781A" w:rsidRDefault="00B4781A"/>
    <w:p w14:paraId="51E20448" w14:textId="77777777" w:rsidR="00B4781A" w:rsidRDefault="00B4781A"/>
    <w:p w14:paraId="66CB3032" w14:textId="77777777" w:rsidR="00B4781A" w:rsidRDefault="00B4781A"/>
    <w:p w14:paraId="1C04D98A" w14:textId="77777777" w:rsidR="00B4781A" w:rsidRDefault="00B4781A"/>
    <w:p w14:paraId="011A41C7" w14:textId="77777777" w:rsidR="00B4781A" w:rsidRDefault="00B4781A"/>
    <w:p w14:paraId="675A1D12" w14:textId="77777777" w:rsidR="00B4781A" w:rsidRDefault="00B4781A"/>
    <w:p w14:paraId="071A3B12" w14:textId="77777777" w:rsidR="00B4781A" w:rsidRDefault="00B478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1DCBD7" wp14:editId="2221E1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7B7B" w14:textId="77777777" w:rsidR="00B4781A" w:rsidRDefault="00B47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1DCB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1C7B7B" w14:textId="77777777" w:rsidR="00B4781A" w:rsidRDefault="00B47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58E654" w14:textId="77777777" w:rsidR="00B4781A" w:rsidRDefault="00B4781A"/>
    <w:p w14:paraId="3188CE40" w14:textId="77777777" w:rsidR="00B4781A" w:rsidRDefault="00B4781A"/>
    <w:p w14:paraId="685D4DC1" w14:textId="77777777" w:rsidR="00B4781A" w:rsidRDefault="00B478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C689A8" wp14:editId="439B9D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EF545" w14:textId="77777777" w:rsidR="00B4781A" w:rsidRDefault="00B4781A"/>
                          <w:p w14:paraId="75341FEB" w14:textId="77777777" w:rsidR="00B4781A" w:rsidRDefault="00B47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C689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9EF545" w14:textId="77777777" w:rsidR="00B4781A" w:rsidRDefault="00B4781A"/>
                    <w:p w14:paraId="75341FEB" w14:textId="77777777" w:rsidR="00B4781A" w:rsidRDefault="00B47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7CE384" w14:textId="77777777" w:rsidR="00B4781A" w:rsidRDefault="00B4781A"/>
    <w:p w14:paraId="78312933" w14:textId="77777777" w:rsidR="00B4781A" w:rsidRDefault="00B4781A">
      <w:pPr>
        <w:rPr>
          <w:sz w:val="2"/>
          <w:szCs w:val="2"/>
        </w:rPr>
      </w:pPr>
    </w:p>
    <w:p w14:paraId="11067919" w14:textId="77777777" w:rsidR="00B4781A" w:rsidRDefault="00B4781A"/>
    <w:p w14:paraId="40607964" w14:textId="77777777" w:rsidR="00B4781A" w:rsidRDefault="00B4781A">
      <w:pPr>
        <w:spacing w:after="0" w:line="240" w:lineRule="auto"/>
      </w:pPr>
    </w:p>
  </w:footnote>
  <w:footnote w:type="continuationSeparator" w:id="0">
    <w:p w14:paraId="77F6F9F8" w14:textId="77777777" w:rsidR="00B4781A" w:rsidRDefault="00B47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0"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8"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5"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6"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8"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9"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5" w15:restartNumberingAfterBreak="0">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abstractNum>
  <w:abstractNum w:abstractNumId="4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7" w15:restartNumberingAfterBreak="0">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8"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1"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3"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4" w15:restartNumberingAfterBreak="0">
    <w:nsid w:val="00000063"/>
    <w:multiLevelType w:val="multilevel"/>
    <w:tmpl w:val="0000006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55"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0"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0"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3"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5"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6" w15:restartNumberingAfterBreak="0">
    <w:nsid w:val="000000D5"/>
    <w:multiLevelType w:val="multilevel"/>
    <w:tmpl w:val="000000D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5"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10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8"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109" w15:restartNumberingAfterBreak="0">
    <w:nsid w:val="3D6E6FA7"/>
    <w:multiLevelType w:val="hybridMultilevel"/>
    <w:tmpl w:val="822EC642"/>
    <w:lvl w:ilvl="0" w:tplc="0178A954">
      <w:start w:val="1"/>
      <w:numFmt w:val="decimal"/>
      <w:lvlText w:val="%1."/>
      <w:lvlJc w:val="left"/>
      <w:pPr>
        <w:tabs>
          <w:tab w:val="num" w:pos="17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52"/>
  </w:num>
  <w:num w:numId="6">
    <w:abstractNumId w:val="4"/>
  </w:num>
  <w:num w:numId="7">
    <w:abstractNumId w:val="5"/>
  </w:num>
  <w:num w:numId="8">
    <w:abstractNumId w:val="6"/>
  </w:num>
  <w:num w:numId="9">
    <w:abstractNumId w:val="7"/>
  </w:num>
  <w:num w:numId="10">
    <w:abstractNumId w:val="108"/>
  </w:num>
  <w:num w:numId="11">
    <w:abstractNumId w:val="105"/>
  </w:num>
  <w:num w:numId="12">
    <w:abstractNumId w:val="9"/>
  </w:num>
  <w:num w:numId="13">
    <w:abstractNumId w:val="59"/>
  </w:num>
  <w:num w:numId="14">
    <w:abstractNumId w:val="10"/>
  </w:num>
  <w:num w:numId="15">
    <w:abstractNumId w:val="39"/>
  </w:num>
  <w:num w:numId="16">
    <w:abstractNumId w:val="84"/>
  </w:num>
  <w:num w:numId="17">
    <w:abstractNumId w:val="85"/>
  </w:num>
  <w:num w:numId="18">
    <w:abstractNumId w:val="62"/>
  </w:num>
  <w:num w:numId="19">
    <w:abstractNumId w:val="64"/>
  </w:num>
  <w:num w:numId="20">
    <w:abstractNumId w:val="65"/>
  </w:num>
  <w:num w:numId="21">
    <w:abstractNumId w:val="32"/>
  </w:num>
  <w:num w:numId="22">
    <w:abstractNumId w:val="50"/>
  </w:num>
  <w:num w:numId="23">
    <w:abstractNumId w:val="51"/>
  </w:num>
  <w:num w:numId="24">
    <w:abstractNumId w:val="55"/>
  </w:num>
  <w:num w:numId="25">
    <w:abstractNumId w:val="73"/>
  </w:num>
  <w:num w:numId="26">
    <w:abstractNumId w:val="57"/>
  </w:num>
  <w:num w:numId="27">
    <w:abstractNumId w:val="58"/>
  </w:num>
  <w:num w:numId="28">
    <w:abstractNumId w:val="45"/>
  </w:num>
  <w:num w:numId="29">
    <w:abstractNumId w:val="56"/>
  </w:num>
  <w:num w:numId="30">
    <w:abstractNumId w:val="16"/>
  </w:num>
  <w:num w:numId="31">
    <w:abstractNumId w:val="109"/>
  </w:num>
  <w:num w:numId="32">
    <w:abstractNumId w:val="70"/>
  </w:num>
  <w:num w:numId="33">
    <w:abstractNumId w:val="47"/>
  </w:num>
  <w:num w:numId="34">
    <w:abstractNumId w:val="48"/>
  </w:num>
  <w:num w:numId="35">
    <w:abstractNumId w:val="60"/>
  </w:num>
  <w:num w:numId="36">
    <w:abstractNumId w:val="12"/>
  </w:num>
  <w:num w:numId="37">
    <w:abstractNumId w:val="14"/>
  </w:num>
  <w:num w:numId="38">
    <w:abstractNumId w:val="54"/>
  </w:num>
  <w:num w:numId="39">
    <w:abstractNumId w:val="67"/>
  </w:num>
  <w:num w:numId="40">
    <w:abstractNumId w:val="53"/>
  </w:num>
  <w:num w:numId="41">
    <w:abstractNumId w:val="26"/>
  </w:num>
  <w:num w:numId="42">
    <w:abstractNumId w:val="28"/>
  </w:num>
  <w:num w:numId="43">
    <w:abstractNumId w:val="71"/>
  </w:num>
  <w:num w:numId="44">
    <w:abstractNumId w:val="35"/>
  </w:num>
  <w:num w:numId="45">
    <w:abstractNumId w:val="86"/>
  </w:num>
  <w:num w:numId="46">
    <w:abstractNumId w:val="8"/>
  </w:num>
  <w:num w:numId="47">
    <w:abstractNumId w:val="11"/>
  </w:num>
  <w:num w:numId="48">
    <w:abstractNumId w:val="22"/>
  </w:num>
  <w:num w:numId="4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1A"/>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103780</TotalTime>
  <Pages>5</Pages>
  <Words>1526</Words>
  <Characters>8702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1095</cp:revision>
  <cp:lastPrinted>2009-02-06T05:36:00Z</cp:lastPrinted>
  <dcterms:created xsi:type="dcterms:W3CDTF">2024-01-07T13:43:00Z</dcterms:created>
  <dcterms:modified xsi:type="dcterms:W3CDTF">2025-05-31T20:31:00Z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