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6ADC3" w14:textId="348EED38" w:rsidR="00056909" w:rsidRDefault="002D7C1E" w:rsidP="002D7C1E">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Гулягин Александр Юрьевич. Основы правоохранительной деятельности органов административной юрисдикции</w:t>
      </w:r>
      <w:bookmarkEnd w:id="0"/>
      <w:r>
        <w:rPr>
          <w:rFonts w:ascii="Verdana" w:hAnsi="Verdana"/>
          <w:color w:val="000000"/>
          <w:sz w:val="18"/>
          <w:szCs w:val="18"/>
          <w:shd w:val="clear" w:color="auto" w:fill="FFFFFF"/>
        </w:rPr>
        <w:t>: диссертация ... доктора юридических наук: 12.00.11 / Гулягин Александр Юрьевич;[Место защиты: ФГКОУ ВПО «Академия Генеральной прокуратуры Российской Федерации»].- Москва, 2014.- 447 с.</w:t>
      </w:r>
    </w:p>
    <w:p w14:paraId="2EDD224B" w14:textId="77777777" w:rsidR="002D7C1E" w:rsidRPr="002D7C1E" w:rsidRDefault="002D7C1E" w:rsidP="002D7C1E">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D7C1E">
        <w:rPr>
          <w:rFonts w:ascii="Verdana" w:eastAsia="Times New Roman" w:hAnsi="Verdana" w:cs="Times New Roman"/>
          <w:b/>
          <w:bCs/>
          <w:color w:val="AC370B"/>
          <w:kern w:val="0"/>
          <w:sz w:val="23"/>
          <w:szCs w:val="23"/>
          <w:lang w:eastAsia="ru-RU"/>
        </w:rPr>
        <w:t>Содержание к диссертации</w:t>
      </w:r>
    </w:p>
    <w:p w14:paraId="7479725B"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Введение</w:t>
      </w:r>
    </w:p>
    <w:p w14:paraId="72250876"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7C1E">
        <w:rPr>
          <w:rFonts w:ascii="Verdana" w:eastAsia="Times New Roman" w:hAnsi="Verdana" w:cs="Times New Roman"/>
          <w:b/>
          <w:bCs/>
          <w:color w:val="000000"/>
          <w:kern w:val="0"/>
          <w:sz w:val="18"/>
          <w:szCs w:val="18"/>
          <w:lang w:eastAsia="ru-RU"/>
        </w:rPr>
        <w:t>Глава 1. Теоретические основы правоохранительной деятельности в сфере административной юрисдикции</w:t>
      </w:r>
    </w:p>
    <w:p w14:paraId="11C29D5E"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1.1. Правоохранительная деятельность и правоохранительные органы: признаки и понятие 32</w:t>
      </w:r>
    </w:p>
    <w:p w14:paraId="721BD46B"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1.2. Правовая характеристика сферы административной юрисдикции 48</w:t>
      </w:r>
    </w:p>
    <w:p w14:paraId="30B112B2"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1.3. Функции правоохранительной деятельности в сфере административной юрисдикции в обеспечении законности 67</w:t>
      </w:r>
    </w:p>
    <w:p w14:paraId="1426FA07"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1.4. Приоритизация мер укрепления законности в сфере административной юрисдикции, как принцип деятельности органов административной юрисдикции 83</w:t>
      </w:r>
    </w:p>
    <w:p w14:paraId="36529D55"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7C1E">
        <w:rPr>
          <w:rFonts w:ascii="Verdana" w:eastAsia="Times New Roman" w:hAnsi="Verdana" w:cs="Times New Roman"/>
          <w:b/>
          <w:bCs/>
          <w:color w:val="000000"/>
          <w:kern w:val="0"/>
          <w:sz w:val="18"/>
          <w:szCs w:val="18"/>
          <w:lang w:eastAsia="ru-RU"/>
        </w:rPr>
        <w:t>Глава 2. Организационные основы правоохранительной деятельности государственных органов административной юрисдикции</w:t>
      </w:r>
    </w:p>
    <w:p w14:paraId="1A6AA7F6"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2.1. Процессуализация как основа системной взаимосвязи элементов правоохранительной деятельности в сфере административной юрисдикции 106</w:t>
      </w:r>
    </w:p>
    <w:p w14:paraId="08BA594B"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2.2. Правовая регламентация административных процедур правоохранительных органов 128</w:t>
      </w:r>
    </w:p>
    <w:p w14:paraId="70004C50"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2.3. Проверка актов правоохранительных органов административной юрисдикции в суде 147</w:t>
      </w:r>
    </w:p>
    <w:p w14:paraId="567C907F"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2.4. Прокурорский надзорный процесс в системе административной юрисдикции 162</w:t>
      </w:r>
    </w:p>
    <w:p w14:paraId="03C046A9"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7C1E">
        <w:rPr>
          <w:rFonts w:ascii="Verdana" w:eastAsia="Times New Roman" w:hAnsi="Verdana" w:cs="Times New Roman"/>
          <w:b/>
          <w:bCs/>
          <w:color w:val="000000"/>
          <w:kern w:val="0"/>
          <w:sz w:val="18"/>
          <w:szCs w:val="18"/>
          <w:lang w:eastAsia="ru-RU"/>
        </w:rPr>
        <w:t>Глава 3. Государственно-правовой механизм функционирования органов административной юрисдикции</w:t>
      </w:r>
    </w:p>
    <w:p w14:paraId="026371CD"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3.1. Основы определения дифференциации и консолидации деятельности правоохранительных органов 177</w:t>
      </w:r>
    </w:p>
    <w:p w14:paraId="3C1185FD"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3.2. Основания классификации органов административной юрисдикции 205</w:t>
      </w:r>
    </w:p>
    <w:p w14:paraId="074DFD74"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3.3. Обеспечение законности нормативных правовых актов административной юрисдикции 227</w:t>
      </w:r>
    </w:p>
    <w:p w14:paraId="5600FAA5"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D7C1E">
        <w:rPr>
          <w:rFonts w:ascii="Verdana" w:eastAsia="Times New Roman" w:hAnsi="Verdana" w:cs="Times New Roman"/>
          <w:b/>
          <w:bCs/>
          <w:color w:val="000000"/>
          <w:kern w:val="0"/>
          <w:sz w:val="18"/>
          <w:szCs w:val="18"/>
          <w:lang w:eastAsia="ru-RU"/>
        </w:rPr>
        <w:t>Глава 4. Особенности прокурорской деятельности в сфере административной юрисдикции</w:t>
      </w:r>
    </w:p>
    <w:p w14:paraId="7E9C6BEC"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4.1. Статусная характеристика органов прокуратуры в сфере деятельности органов административной юрисдикции 246</w:t>
      </w:r>
    </w:p>
    <w:p w14:paraId="51E530B9"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4.2. Полифункциональность органов прокуратуры как основа обеспечения законности в сфере административной юрисдикции 271</w:t>
      </w:r>
    </w:p>
    <w:p w14:paraId="608B09F0"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4.3. Деятельность прокурора в сфере административной юрисдикции 286</w:t>
      </w:r>
    </w:p>
    <w:p w14:paraId="51092922"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4.3.1. Надзор за исполнением законов органами административной юрисдикции как отрасль надзора в системе функций прокуратуры 286</w:t>
      </w:r>
    </w:p>
    <w:p w14:paraId="677BDB3C"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lastRenderedPageBreak/>
        <w:t>4.3.2. Особенности участия прокурора в административном процессе по привлечению к административной ответственности 298</w:t>
      </w:r>
    </w:p>
    <w:p w14:paraId="15967D7E"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4.4. Координация деятельности правоохранительных органов по противодействию преступности и правонарушаемости в сфере административной юрисдикции 310</w:t>
      </w:r>
    </w:p>
    <w:p w14:paraId="49590571"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Заключение 336</w:t>
      </w:r>
    </w:p>
    <w:p w14:paraId="7732A281" w14:textId="77777777" w:rsidR="002D7C1E" w:rsidRPr="002D7C1E" w:rsidRDefault="002D7C1E" w:rsidP="002D7C1E">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D7C1E">
        <w:rPr>
          <w:rFonts w:ascii="Verdana" w:eastAsia="Times New Roman" w:hAnsi="Verdana" w:cs="Times New Roman"/>
          <w:color w:val="000000"/>
          <w:kern w:val="0"/>
          <w:sz w:val="18"/>
          <w:szCs w:val="18"/>
          <w:lang w:eastAsia="ru-RU"/>
        </w:rPr>
        <w:t>Список использованной литературы</w:t>
      </w:r>
    </w:p>
    <w:p w14:paraId="0D99036D" w14:textId="77777777" w:rsidR="002D7C1E" w:rsidRDefault="002D7C1E" w:rsidP="002D7C1E">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Правовая характеристика сферы административной юрисдикции</w:t>
      </w:r>
    </w:p>
    <w:p w14:paraId="422519C8"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целях обеспечения полноты и достоверности работы используются такие специальные методы познания, как философско-диалектический, исторический, формально-логический, системный, нормативно-доктринальный, сравнительно-правовой, структурно-функциональный, статистический, конкретно-социологический и другие.</w:t>
      </w:r>
    </w:p>
    <w:p w14:paraId="245AD571"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Нормативную базу исследования составили Конституция Российской Федерации, международные нормы и стандарты деятельности правоохранительных органов в сфере административной юрисдикции, административное, административно-процессуальное, уголовное, уголовно-процессуальное, гражданское и гражданско-процессуальное законодательство Российской Федерации, а также другие нормативные правовые акты Российской Федерации, регулирующие сферу административно-юрисдикционной деятельности правоохранительных органов.</w:t>
      </w:r>
    </w:p>
    <w:p w14:paraId="4BBB03FA"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Эмпирической основой исследования служит значительное количество статистических данных за 2004–2013 гг., включающих в себя количественные и качественные показатели работы правоохранительных органов в сфере административной юрисдикции, органов государственной власти и органов местного самоуправления по рассматриваемому направлению деятельности, а также деятельность судов и прокуратуры по контролю и надзору за соблюдением законности в сфере административной юрисдикции. В диссертации использованы судебные акты, акты правоохранительных органов административной юрисдикции, правовые акты методического характера, обзоры и обобщения правоприменительной деятельности субъектов административной юрисдикции, органов контроля и надзора за ними.</w:t>
      </w:r>
    </w:p>
    <w:p w14:paraId="609462F0"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Диссертантом были проведены комплексный анализ законодательных и иных нормативных правовых актов, определяющих статус различных органов исполнительной власти в сфере административной юрисдикции, процедуры и иные механизмы их правоохранительной деятельности; мониторинговое изучение информации на официальных сайтах федеральных служб и иных органов административной юрисдикции, данных ведомственной статистики этих структур (инспекций и других контрольно-надзорных органов) о состоянии законности в контролируемых ими сферах правовых отношений, о проведенных проверках; ежегодных докладов прокуроров субъектов Российской Федерации о состоянии законности и правопорядка в регионах и их оценки (самооценки) проделанной работы в части осуществления прокурорского надзора и координации деятельности правоохранительных органов по борьбе с преступлениями, выявлению и устранению обстоятельств, способствующих их совершению, преимущественно административных правонарушений.</w:t>
      </w:r>
    </w:p>
    <w:p w14:paraId="37A47837"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Автором проведен опрос должностных лиц прокуратуры и контролирующих органов в сфере административной юрисдикции по вопросам, относящимся к предмету данного исследования, по специально разработанной программе. В результате этого эмпирическая база диссертационного исследования представлена результатами анкетирования 1330 сотрудников различных органов более 30 регионов страны, из которых 784 работника прокуратуры; 546 сотрудников контрольных органов.</w:t>
      </w:r>
    </w:p>
    <w:p w14:paraId="3BA4A674"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проведении диссертационного исследования был использован личный опыт работы автора в должностях органов прокуратуры от заместителя прокурора района до прокурора субъекта России.</w:t>
      </w:r>
    </w:p>
    <w:p w14:paraId="36928D21"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Научная новизна. Диссертационное исследование проведено в современных условиях реформирования правоохранительных органов Российской Федерации и в определенной степени подводит итоги их деятельности до настоящего времени. В результате комплексного анализа теоретических и практических основ правоохранительной деятельности в сфере административной юрисдикции автором предлагается новый взгляд на институт правоохранительной деятельности в сфере административной юрисдикции. Новизна предлагаемого подхода заключается в том, что на основе достижений правовой науки и теории управления диссертантом научно обоснованы концепция реализации правоохранительной административно-юрисдикционной функции государства, основания, тенденции и закономерности ее дифференциации по сферам правовых отношений, их взаимосвязи и обусловленности с правоохранительной деятельностью органов уголовной юрисдикции.</w:t>
      </w:r>
    </w:p>
    <w:p w14:paraId="2F3CEE6D"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Исследовав организационную сторону рассматриваемого вопроса, диссертант разработал конкретные предложения по его совершенствованию и повышению эффективности, а также по оптимизации деятельности субъектов административной юрисдикции путем четкой ее регламентации, а также через создание эффективной системы контроля и надзора. С учетом полученных в ходе исследования результатов сформулированы и теоретически обоснованы предложения, направленные на совершенствование законодательства в рассматриваемой сфере.</w:t>
      </w:r>
    </w:p>
    <w:p w14:paraId="4F93915B" w14:textId="77777777" w:rsidR="002D7C1E" w:rsidRDefault="002D7C1E" w:rsidP="002D7C1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Правовая регламентация административных процедур правоохранительных органов</w:t>
      </w:r>
    </w:p>
    <w:p w14:paraId="6B3C2E04"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видно из приведенных положений, основой прокурорской деятельности является надзор за исполнением законов субъектами правоприменения. Участие прокурора в уголовном и административном процессе, четко оговоренное в соответствующем законодательстве, хотя и исходит из основной функции надзора, все же ограничено предметами и пределами, установленными как уголовным, так и административным законодательством.</w:t>
      </w:r>
    </w:p>
    <w:p w14:paraId="7EBE471C"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Реализация указанных надзорных функций заключается, по сути, в обеспечении проверки конкретных сведений о нарушениях законов, о которых стало известно органам прокуратуры, посредством использования указанных выше полномочий и выдвижения законных требований, обязательных для исполнения проверяемыми органами и организациями, в оценке этих обстоятельств и квалификации нарушений законов, в принятии актов прокурорского реагирования. </w:t>
      </w:r>
      <w:r>
        <w:rPr>
          <w:rFonts w:ascii="Verdana" w:hAnsi="Verdana"/>
          <w:color w:val="000000"/>
          <w:sz w:val="18"/>
          <w:szCs w:val="18"/>
        </w:rPr>
        <w:lastRenderedPageBreak/>
        <w:t>Это обстоятельство является связующим элементом между вторым и третьим критериями и дополнительно характеризует прокурорский надзорный процесс как самостоятельный вид процесса интегративного характера.</w:t>
      </w:r>
    </w:p>
    <w:p w14:paraId="64BB0085"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четвертому критерию, характеризующему прокурорский надзорный процесс, целью рассматриваемой функции в целом является защита прав и свобод человека и гражданина, а также охраняемых законом интересов общества и государства, реализуемых с использованием возможностей всех установленных видов процессуального производства3. Государство возложило на прокуратуру надзор за реализацией прав и свобод как на специальный орган, основной функцией которого является надзор от имени Российской Федерации за соблюдением Конституции Российской Федерации и исполнением законов, действующих на ее территории1. При этом для достижения указанных целей прокуроры в процессе осуществления надзорной деятельности выявляют правонарушения, устанавливают их фактические обстоятельства, которые затем ложатся в основу прокурорского реагирования, направленного на восстановление нарушенных прав и законности2.</w:t>
      </w:r>
    </w:p>
    <w:p w14:paraId="750FD830"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надзоре за соблюдением прав и свобод человека и гражданина правовым объектом прокурорского надзорного процесса выступает деятельность соответствующих государственных структур, затрагивающих права и свободы человека и гражданина, которые должны соблюдаться фактическими (материальными) объектами надзора, указанными перечнем в Федеральном законе, — федеральными министерствами, государственными комитетами, службами и т. п.3</w:t>
      </w:r>
    </w:p>
    <w:p w14:paraId="7BE59C86"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Проводимые в современной России демократические преобразования, курс на строительство правового государства, провозглашение приоритета личности создают предпосылки для повышения роли прокуратуры Российской Федерации как федерального централизованного надзорного органа в укреплении законности и правопорядка в стране, охране и защите конституционных прав и свобод человека и гражданина4. В качестве субъектного состава осуществления функции прокурорского надзора необходимо выделить управомоченных должностных лиц различных элементов системы органов прокуратуры.</w:t>
      </w:r>
    </w:p>
    <w:p w14:paraId="32B2C0E2"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Она состоит из Генеральной прокуратуры Российской Федерации, прокуратур субъектов Российской Федерации, приравненных к ним военных и других специализированных прокуратур, а также прокуратур городов и районов, других территориальных, военных и иных специализированных прокуратур, осуществляющих надзор на территории всей страны, согласно административно-территориальному ее делению и с учетом принципов выделения отдельных специализированных прокуратур, их субъектных предметов ведения1.</w:t>
      </w:r>
    </w:p>
    <w:p w14:paraId="0E9E6FDA"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эти органы уполномочены государством осуществлять всю полноту прокурорского надзора в соответствии со своей компетенцией и принимать все меры, предусмотренные законом, по выявлению и устранению нарушений законов.</w:t>
      </w:r>
    </w:p>
    <w:p w14:paraId="6F35B830"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Компетенция органов прокуратуры, характеризующая прокурорский надзор как процессуальную деятельность, в зависимости от функциональной направленности в основном определяется Федеральным законом Российской Федерации «О прокуратуре Российской Федерации». В ст. 22 данного федерального закона говорится, что при осуществлении надзора за </w:t>
      </w:r>
      <w:r>
        <w:rPr>
          <w:rFonts w:ascii="Verdana" w:hAnsi="Verdana"/>
          <w:color w:val="000000"/>
          <w:sz w:val="18"/>
          <w:szCs w:val="18"/>
        </w:rPr>
        <w:lastRenderedPageBreak/>
        <w:t>исполнением законов прокурор вправе по предъявлении служебного удостоверения беспрепятственно входить на территории и в помещения поднадзорных органов,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 требовать от руководителей и других должностных лиц указанных органов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 вызывать должностных лиц и граждан для объяснений по поводу нарушений законов; возбуждает производство об административном правонарушении, требует привлечения лиц, нарушивших закон, к иной установленной законом ответственности, предостерегает о недопустимости нарушения закона; освобождает своим постановлением лиц, незаконно подвергнутых административному задержанию на основании решений несудебных органов; опротестовывает противоречащие закону правовые акты, обращается в суд или арбитражный суд с требованием о признании таких актов недействительными; вносит представление об устранении нарушений закона</w:t>
      </w:r>
    </w:p>
    <w:p w14:paraId="7AE7F9E7" w14:textId="77777777" w:rsidR="002D7C1E" w:rsidRDefault="002D7C1E" w:rsidP="002D7C1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Обеспечение законности нормативных правовых актов административной юрисдикции</w:t>
      </w:r>
    </w:p>
    <w:p w14:paraId="306B057C"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Прокурор в соответствии со своими полномочиями вправе возбуждать производство по делу об административном правонарушении и участвовать в рассмотрении дела, представлять доказательства, заявлять ходатайства, давать заключения по вопросам, возникающим во время рассмотрения дела;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действия2.</w:t>
      </w:r>
    </w:p>
    <w:p w14:paraId="14BE358C"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Считается, что «важнейшей административно-процессуальной формой прокурорского надзора является принесение протеста на постановление по делу об административном правонарушении»3. Точнее было бы сказать, что это является одним из универсальных правовых средств прокурора по восстановлению нарушенной законности.</w:t>
      </w:r>
    </w:p>
    <w:p w14:paraId="60190AFB"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касается надзора за законностью нормативных правовых актов, то в Федеральном законе России «О прокуратуре Российской Федерации» эти полномочия определяются следующим образом:</w:t>
      </w:r>
    </w:p>
    <w:p w14:paraId="3BC73832"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Прокурор или его заместитель в случае установления факта нарушения закона органами и должностными лицами, указанными в п. 1 ст. 21 Федерального закона России «О прокуратуре Российской Федерации», опротестовывает противоречащие закону правовые акты, обращается в суд или арбитражный суд с требованием о признании таких актов недействительными4.</w:t>
      </w:r>
    </w:p>
    <w:p w14:paraId="64C3970D"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прокурор или его заместитель приносит протест на противоречащий закону правовой акт в орган или должностному лицу, которые издали этот акт, либо в вышестоящий орган или вышестоящему должностному лицу, либо обращается в суд в порядке, предусмотренном процессуальным законодательством Российской Федерации1.</w:t>
      </w:r>
    </w:p>
    <w:p w14:paraId="3E86B31A"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Этим характеризуется сущностная сторона участия прокурора в административном производстве по делам об административных правонарушениях.</w:t>
      </w:r>
    </w:p>
    <w:p w14:paraId="5091BD11"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Как справедливо заметил исследователь тенденций и закономерностей развития российской прокуратуры в различных исторических условиях, государственных устройствах и правовых систем Д. О. Серов, достижение позитивных результатов в поддержании режима законности и правопорядка обеспечивается взаимодействием прокуратуры, контрольных и надзорных, правоохранительных и судебных органов2. Другие исследователи подчеркивают, что без учета данных закономерностей затруднительно вырабатывать в полной мере оптимальную стратегию дальнейшего развития как государственного строительства России в целом, так и механизма государственного контроля и надзора в частности3.</w:t>
      </w:r>
    </w:p>
    <w:p w14:paraId="020F201A"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Главная цель правоохранительной деятельности прокуратуры — максимально полное использование потенциальных возможностей ее органов по реализации фундаментальных прав и свобод человека и гражданина, интересов общества и государства, особенно в сфере деятельности органов административной юрисдикции, где до сих пор имеют место наиболее распространенные и не всегда устраняемые нарушения. Поэтому задачами деятельности прокуратуры в данной области являются своевременное установление нарушений закона, способствующих им условий и факторов, их устранение либо нейтрализация, принятие мер к предупреждению нарушений законов. Прокуратура всей своей деятельностью всемерно способствует развитию России как демократического правового социального государства, его укреплению, обеспечению законности и правопорядка1. Подводя итоги рассмотренного материала, отметим:</w:t>
      </w:r>
    </w:p>
    <w:p w14:paraId="194F40A4"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1. Положение прокуратуры в системе государственных органов в целом определяется его конституционно-правовым статусом, организационным построением системы органов прокуратуры. При этом роль органов прокуратуры предопределяется ее функциональным предназначением и проявляется в обеспечении посредством надзора соблюдения Конституции Российской Федерации и исполнения иных законов, действующих на территории России. Наличие функции уголовного преследования усиливает эту возможность прокуратуры. Координация прокуратурой деятельности правоохранительных органов по борьбе с преступностью создает кумулятивный эффект процесса укрепления законности и правопорядка, который многократно усиливается вовлечением в этот процесс органов контроля (надзора) административной юрисдикции на должной правовой, организационной, методологической и методической основах.</w:t>
      </w:r>
    </w:p>
    <w:p w14:paraId="106F9A17"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2. Отсутствие конституционного закрепления функций прокуратуры порождает различного рода толкования, многочисленные попытки изменения Федерального закона Российской Федерации «О прокуратуре Российской Федерации» в целях сокращения предмета и пределов прокурорского надзора, характера, состава и содержания функций прокуроров, что в результате сказывается на значительном ослаблении правозащитного потенциала, а следовательно, и самой законности и правопорядка. В этой связи представляется необходимым закрепить в Конституции Российской Федерации помимо основ организационной прокурорской системы еще и ее функциональное предназначение, которое определяется в соответствии с п. 1 ст. 129 Конституции Российской </w:t>
      </w:r>
      <w:r>
        <w:rPr>
          <w:rFonts w:ascii="Verdana" w:hAnsi="Verdana"/>
          <w:color w:val="000000"/>
          <w:sz w:val="18"/>
          <w:szCs w:val="18"/>
        </w:rPr>
        <w:lastRenderedPageBreak/>
        <w:t>Федерации (в ред. 2014 г.), в федеральном законе. Это приведет к усилению воздействия прокуратуры в системе государственных органов на процесс обеспечения законности.</w:t>
      </w:r>
    </w:p>
    <w:p w14:paraId="24772BEA"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Этот закон должен быть федеральным конституционными законом, как это имело место применительно к иным государственным структурам, в соответствии с ч. 1 ст. 108 Конституции Российской Федерации.</w:t>
      </w:r>
    </w:p>
    <w:p w14:paraId="0ADC7565"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3. Статус прокуратуры в системе деятельности органов административной юрисдикции опосредуется в предмете и пределах надзора полномочий и правовых средств выполнения надзорных и иных ее функций. Он проявляется в осуществлении надзора за законностью управленческих действий и актов и обеспечивается участием в административном процессе по делам об административных правонарушениях в соответствии со своей компетенцией.</w:t>
      </w:r>
    </w:p>
    <w:p w14:paraId="46905ECF"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того, что в настоящее время действуют различные государственные правоохранительные органы административной юрисдикции, призванные обеспечивать законность в конкретных сферах правовых отношений, что обусловлено множеством социальных, экономических, политических, организационных и иных предпосылок, а прокуратура в своей деятельности не должна подменять данные органы, то необходимо делать акцент в прокурорском надзоре на соблюдении ими законности и на взаимодействии с этими органами в процессе согласованной деятельности по обеспечению законности.</w:t>
      </w:r>
    </w:p>
    <w:p w14:paraId="2B92111A" w14:textId="77777777" w:rsidR="002D7C1E" w:rsidRDefault="002D7C1E" w:rsidP="002D7C1E">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Полифункциональность органов прокуратуры как основа обеспечения законности в сфере административной юрисдикции</w:t>
      </w:r>
    </w:p>
    <w:p w14:paraId="1DA6ED7C"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Основания прокурорской проверки, процедуры и процессуальные акты прокурорской деятельности (постановление о проведении проверки, о возбуждении производства в надзорном порядке и др.), сроки проведения проверок, порядок их продления, привлечения специалистов к их проведению, акты, фиксирующие результаты прокурорской надзорной проверки, и другие акты и процедуры прокурорской надзорной деятельности составляют сущностную характеристику прокурорского процесса, подлежащего кодифицированной регламентации.</w:t>
      </w:r>
    </w:p>
    <w:p w14:paraId="27F17C20"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Дифференциация и консолидация государственных органов административной юрисдикции строятся на основе функционального и компетенционного критериев, когда государственный орган осуществляет контрольно-надзорные процедуры и привлечение к ответственности за административное правонарушение, а при определенных условиях также за преступление.</w:t>
      </w:r>
    </w:p>
    <w:p w14:paraId="76339570"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этой связи правоохранительные органы необходимо классифицировать по трем группам: во-первых, правоохранительные органы только уголовной юрисдикции; во-вторых, правоохранительные органы, которые для выполнения своих задач наделены государством одновременно и контрольно-надзорными функциями в сфере административной юрисдикции, и функциями уголовной юрисдикции (дознание, оперативно-розыскная деятельность, предварительное следствие), — правоохранительные органы со смешанной, универсальной компетенцией; в-третьих, самостоятельную группу составляют органы, наделенные только </w:t>
      </w:r>
      <w:r>
        <w:rPr>
          <w:rFonts w:ascii="Verdana" w:hAnsi="Verdana"/>
          <w:color w:val="000000"/>
          <w:sz w:val="18"/>
          <w:szCs w:val="18"/>
        </w:rPr>
        <w:lastRenderedPageBreak/>
        <w:t>контрольными и надзорными полномочиями в сфере административной юрисдикции, — правоохранительные органы административной юрисдикции.</w:t>
      </w:r>
    </w:p>
    <w:p w14:paraId="33F8E445"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научное и прикладное значение проводимой классификации заключается в необходимости: во-первых, определить в данной системе государственного регулирования наиболее эффективные механизмы установления административного или правонарушения и привлечения к соответствующей ответственности виновного; во-вторых, на основе мониторингового анализа выявить, напротив, малоэффективные механизмы в виде отсутствия объективно необходимых полномочий у конкретного органа довести правовую ситуацию до логического завершения, путем формирования госструктуры либо посредством наделения необходимой функцией контроля (надзора) действующих государственных структур, а также выявить ослабленные связи между государственными структурами, реализующими правоохрану в административной сфере, поскольку наличие этих связей и возможностей по установлению и устранению правонарушений прежде всего определяет полноту охвата всех сфер правоотношений и системность данных органов, их достаточность для поддержания должного уровня законности и правопорядка.</w:t>
      </w:r>
    </w:p>
    <w:p w14:paraId="6E5A0B32"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Органами административной юрисдикции следует признать органы государственной власти, осуществляющие функции по контролю и надзору, реализующие полномочия по привлечению виновных к установленной административной ответственности и действующие при этом в конкретной сфере правовых отношений, регламентированной законодательно.</w:t>
      </w:r>
    </w:p>
    <w:p w14:paraId="0F6C7F18"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В основе критеризации государственных правоохранительных органов административной юрисдикции необходимо учитывать функциональные и компетенционые признаки независимо от объекта и предмета правоохранительного воздействия в той мере, в какой объект и предмет прямо не обусловливают отличительные характеристики административных процедур, реализующих правоохранительные функции в сфере административной юрисдикции.</w:t>
      </w:r>
    </w:p>
    <w:p w14:paraId="50546DFF"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Правоохранительные функции в сфере административной юрисдикции характеризуются следующими признаками:</w:t>
      </w:r>
    </w:p>
    <w:p w14:paraId="520CA4E8"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а) к числу функциональных признаков относится исполнение уполномоченными государственными органами возложенных на них функций по контролю и надзору в различных сферах правоотношений;</w:t>
      </w:r>
    </w:p>
    <w:p w14:paraId="4A1F26E1"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б) функции по выявлению и пресечению административных правонарушений, рассмотрению административных дел и привлечению к административной ответственности за соответствующие правонарушения осуществляются независимо от того, стали ли данные действия результатом контроля и надзора либо они реализовывались самостоятельно и непосредственно.</w:t>
      </w:r>
    </w:p>
    <w:p w14:paraId="28237456"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Компетенционные признаки характеризуются совокупностью специфических полномочий, прав и обязанностей, включая: возбуждение административного производства, проведение проверок, изъятие документов, назначение экспертиз, предписание о приостановлении производства, отстранение от должности, дисквалификацию должностного лица и т. д.</w:t>
      </w:r>
    </w:p>
    <w:p w14:paraId="7332BE9D" w14:textId="77777777" w:rsidR="002D7C1E" w:rsidRDefault="002D7C1E" w:rsidP="002D7C1E">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этом для функции по привлечению к административной ответственности процесс закреплен в Кодексе Российской Федерации об административных правонарушениях, а для функций по контролю и надзору — в соответствующих предметных законах, административных регламентах и иных нормативных правовых актах.</w:t>
      </w:r>
    </w:p>
    <w:p w14:paraId="6A2F4C64" w14:textId="77777777" w:rsidR="002D7C1E" w:rsidRPr="002D7C1E" w:rsidRDefault="002D7C1E" w:rsidP="002D7C1E"/>
    <w:sectPr w:rsidR="002D7C1E" w:rsidRPr="002D7C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25CF8" w14:textId="77777777" w:rsidR="00D91F54" w:rsidRDefault="00D91F54">
      <w:pPr>
        <w:spacing w:after="0" w:line="240" w:lineRule="auto"/>
      </w:pPr>
      <w:r>
        <w:separator/>
      </w:r>
    </w:p>
  </w:endnote>
  <w:endnote w:type="continuationSeparator" w:id="0">
    <w:p w14:paraId="4B6D3CFF" w14:textId="77777777" w:rsidR="00D91F54" w:rsidRDefault="00D9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3E2D9" w14:textId="77777777" w:rsidR="00D91F54" w:rsidRDefault="00D91F54">
      <w:pPr>
        <w:spacing w:after="0" w:line="240" w:lineRule="auto"/>
      </w:pPr>
      <w:r>
        <w:separator/>
      </w:r>
    </w:p>
  </w:footnote>
  <w:footnote w:type="continuationSeparator" w:id="0">
    <w:p w14:paraId="1B261525" w14:textId="77777777" w:rsidR="00D91F54" w:rsidRDefault="00D91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D65068"/>
    <w:multiLevelType w:val="multilevel"/>
    <w:tmpl w:val="F52E7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8DA4890"/>
    <w:multiLevelType w:val="multilevel"/>
    <w:tmpl w:val="EB2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D25259"/>
    <w:multiLevelType w:val="multilevel"/>
    <w:tmpl w:val="F458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60003A"/>
    <w:multiLevelType w:val="multilevel"/>
    <w:tmpl w:val="B8C01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BF74A0"/>
    <w:multiLevelType w:val="multilevel"/>
    <w:tmpl w:val="DA6043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9D5B44"/>
    <w:multiLevelType w:val="multilevel"/>
    <w:tmpl w:val="09CAD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0D229C"/>
    <w:multiLevelType w:val="multilevel"/>
    <w:tmpl w:val="D4402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1042B2B"/>
    <w:multiLevelType w:val="multilevel"/>
    <w:tmpl w:val="911A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48216A"/>
    <w:multiLevelType w:val="multilevel"/>
    <w:tmpl w:val="3CEA6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7" w15:restartNumberingAfterBreak="0">
    <w:nsid w:val="3D0A5698"/>
    <w:multiLevelType w:val="multilevel"/>
    <w:tmpl w:val="BB0A1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1E319E"/>
    <w:multiLevelType w:val="multilevel"/>
    <w:tmpl w:val="5108F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B36FE7"/>
    <w:multiLevelType w:val="multilevel"/>
    <w:tmpl w:val="955C6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3AA093A"/>
    <w:multiLevelType w:val="multilevel"/>
    <w:tmpl w:val="57E08D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6C704E"/>
    <w:multiLevelType w:val="multilevel"/>
    <w:tmpl w:val="66E00C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FC6657"/>
    <w:multiLevelType w:val="multilevel"/>
    <w:tmpl w:val="C37E7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7426F02"/>
    <w:multiLevelType w:val="multilevel"/>
    <w:tmpl w:val="BE8EF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7DF0745"/>
    <w:multiLevelType w:val="multilevel"/>
    <w:tmpl w:val="3030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461CC4"/>
    <w:multiLevelType w:val="multilevel"/>
    <w:tmpl w:val="A2AC52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626258"/>
    <w:multiLevelType w:val="multilevel"/>
    <w:tmpl w:val="377C1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6C28D9"/>
    <w:multiLevelType w:val="multilevel"/>
    <w:tmpl w:val="A2BEE4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D02A17"/>
    <w:multiLevelType w:val="multilevel"/>
    <w:tmpl w:val="C69E3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6D611F0"/>
    <w:multiLevelType w:val="multilevel"/>
    <w:tmpl w:val="9B3A8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67FA3EC9"/>
    <w:multiLevelType w:val="multilevel"/>
    <w:tmpl w:val="C02AA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845D75"/>
    <w:multiLevelType w:val="multilevel"/>
    <w:tmpl w:val="251CE7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5C27A8"/>
    <w:multiLevelType w:val="multilevel"/>
    <w:tmpl w:val="069A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500CDB"/>
    <w:multiLevelType w:val="multilevel"/>
    <w:tmpl w:val="CB0620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FF31D8"/>
    <w:multiLevelType w:val="multilevel"/>
    <w:tmpl w:val="E96C60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B32734"/>
    <w:multiLevelType w:val="multilevel"/>
    <w:tmpl w:val="52166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A840B1"/>
    <w:multiLevelType w:val="multilevel"/>
    <w:tmpl w:val="1684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5"/>
  </w:num>
  <w:num w:numId="7">
    <w:abstractNumId w:val="43"/>
  </w:num>
  <w:num w:numId="8">
    <w:abstractNumId w:val="46"/>
  </w:num>
  <w:num w:numId="9">
    <w:abstractNumId w:val="58"/>
  </w:num>
  <w:num w:numId="10">
    <w:abstractNumId w:val="26"/>
  </w:num>
  <w:num w:numId="11">
    <w:abstractNumId w:val="28"/>
  </w:num>
  <w:num w:numId="12">
    <w:abstractNumId w:val="56"/>
  </w:num>
  <w:num w:numId="13">
    <w:abstractNumId w:val="34"/>
  </w:num>
  <w:num w:numId="14">
    <w:abstractNumId w:val="38"/>
  </w:num>
  <w:num w:numId="15">
    <w:abstractNumId w:val="44"/>
  </w:num>
  <w:num w:numId="16">
    <w:abstractNumId w:val="33"/>
  </w:num>
  <w:num w:numId="17">
    <w:abstractNumId w:val="48"/>
  </w:num>
  <w:num w:numId="18">
    <w:abstractNumId w:val="50"/>
  </w:num>
  <w:num w:numId="19">
    <w:abstractNumId w:val="49"/>
  </w:num>
  <w:num w:numId="20">
    <w:abstractNumId w:val="29"/>
  </w:num>
  <w:num w:numId="21">
    <w:abstractNumId w:val="37"/>
  </w:num>
  <w:num w:numId="22">
    <w:abstractNumId w:val="35"/>
  </w:num>
  <w:num w:numId="23">
    <w:abstractNumId w:val="45"/>
  </w:num>
  <w:num w:numId="24">
    <w:abstractNumId w:val="39"/>
  </w:num>
  <w:num w:numId="25">
    <w:abstractNumId w:val="32"/>
  </w:num>
  <w:num w:numId="26">
    <w:abstractNumId w:val="53"/>
  </w:num>
  <w:num w:numId="27">
    <w:abstractNumId w:val="42"/>
  </w:num>
  <w:num w:numId="28">
    <w:abstractNumId w:val="54"/>
  </w:num>
  <w:num w:numId="29">
    <w:abstractNumId w:val="57"/>
  </w:num>
  <w:num w:numId="30">
    <w:abstractNumId w:val="47"/>
  </w:num>
  <w:num w:numId="31">
    <w:abstractNumId w:val="30"/>
  </w:num>
  <w:num w:numId="32">
    <w:abstractNumId w:val="31"/>
  </w:num>
  <w:num w:numId="33">
    <w:abstractNumId w:val="59"/>
  </w:num>
  <w:num w:numId="34">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1F54"/>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30799</TotalTime>
  <Pages>9</Pages>
  <Words>3483</Words>
  <Characters>19856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6030</cp:revision>
  <cp:lastPrinted>2009-02-06T05:36:00Z</cp:lastPrinted>
  <dcterms:created xsi:type="dcterms:W3CDTF">2016-09-19T15:12:00Z</dcterms:created>
  <dcterms:modified xsi:type="dcterms:W3CDTF">2017-02-19T20:35:00Z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