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45CC" w14:textId="20BB4A85" w:rsidR="0071717C" w:rsidRDefault="003D507F" w:rsidP="003D507F">
      <w:pPr>
        <w:rPr>
          <w:rFonts w:ascii="Verdana" w:hAnsi="Verdana"/>
          <w:b/>
          <w:bCs/>
          <w:color w:val="000000"/>
          <w:shd w:val="clear" w:color="auto" w:fill="FFFFFF"/>
        </w:rPr>
      </w:pPr>
      <w:r>
        <w:rPr>
          <w:rFonts w:ascii="Verdana" w:hAnsi="Verdana"/>
          <w:b/>
          <w:bCs/>
          <w:color w:val="000000"/>
          <w:shd w:val="clear" w:color="auto" w:fill="FFFFFF"/>
        </w:rPr>
        <w:t xml:space="preserve">Рябичев Віктор Дронович. Розробка комплексної технології ліквідації похилих гірничих виробок шахт, що закриваються, твердіючими високодисперсними сумішами : Дис... канд. наук: 05.15.04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W w:w="15000" w:type="dxa"/>
        <w:jc w:val="center"/>
        <w:tblCellSpacing w:w="0" w:type="dxa"/>
        <w:shd w:val="clear" w:color="auto" w:fill="FFFFFF"/>
        <w:tblCellMar>
          <w:left w:w="0" w:type="dxa"/>
          <w:right w:w="0" w:type="dxa"/>
        </w:tblCellMar>
        <w:tblLook w:val="04A0" w:firstRow="1" w:lastRow="0" w:firstColumn="1" w:lastColumn="0" w:noHBand="0" w:noVBand="1"/>
      </w:tblPr>
      <w:tblGrid>
        <w:gridCol w:w="15000"/>
      </w:tblGrid>
      <w:tr w:rsidR="003D507F" w:rsidRPr="003D507F" w14:paraId="6AB14805" w14:textId="77777777" w:rsidTr="003D507F">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5000"/>
            </w:tblGrid>
            <w:tr w:rsidR="003D507F" w:rsidRPr="003D507F" w14:paraId="56468DCA" w14:textId="77777777">
              <w:trPr>
                <w:tblCellSpacing w:w="0" w:type="dxa"/>
              </w:trPr>
              <w:tc>
                <w:tcPr>
                  <w:tcW w:w="10170" w:type="dxa"/>
                  <w:hideMark/>
                </w:tcPr>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3D507F" w:rsidRPr="003D507F" w14:paraId="3C8893B6"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507F" w:rsidRPr="003D507F" w14:paraId="76E95168" w14:textId="77777777">
                          <w:trPr>
                            <w:tblCellSpacing w:w="0" w:type="dxa"/>
                          </w:trPr>
                          <w:tc>
                            <w:tcPr>
                              <w:tcW w:w="0" w:type="auto"/>
                              <w:vAlign w:val="center"/>
                              <w:hideMark/>
                            </w:tcPr>
                            <w:p w14:paraId="655D0083" w14:textId="77777777" w:rsidR="003D507F" w:rsidRPr="003D507F" w:rsidRDefault="003D507F" w:rsidP="003D507F">
                              <w:pPr>
                                <w:spacing w:before="100" w:beforeAutospacing="1" w:after="100" w:afterAutospacing="1" w:line="240" w:lineRule="auto"/>
                                <w:rPr>
                                  <w:rFonts w:ascii="Times New Roman" w:eastAsia="Times New Roman" w:hAnsi="Times New Roman" w:cs="Times New Roman"/>
                                  <w:sz w:val="24"/>
                                  <w:szCs w:val="24"/>
                                </w:rPr>
                              </w:pPr>
                              <w:r w:rsidRPr="003D507F">
                                <w:rPr>
                                  <w:rFonts w:ascii="Times New Roman" w:eastAsia="Times New Roman" w:hAnsi="Times New Roman" w:cs="Times New Roman"/>
                                  <w:sz w:val="24"/>
                                  <w:szCs w:val="24"/>
                                </w:rPr>
                                <w:t>Рябичев В.Д. “Розробка комплексної технології ліквідації похилих гірничих виробок шахт, що закриваються, твердіючими високодисперсними сумішами”. – Рукопис.</w:t>
                              </w:r>
                            </w:p>
                            <w:p w14:paraId="3BE9908F" w14:textId="77777777" w:rsidR="003D507F" w:rsidRPr="003D507F" w:rsidRDefault="003D507F" w:rsidP="003D507F">
                              <w:pPr>
                                <w:spacing w:before="100" w:beforeAutospacing="1" w:after="100" w:afterAutospacing="1" w:line="240" w:lineRule="auto"/>
                                <w:rPr>
                                  <w:rFonts w:ascii="Times New Roman" w:eastAsia="Times New Roman" w:hAnsi="Times New Roman" w:cs="Times New Roman"/>
                                  <w:sz w:val="24"/>
                                  <w:szCs w:val="24"/>
                                </w:rPr>
                              </w:pPr>
                              <w:r w:rsidRPr="003D507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спеціальність 05.15.04 – “Шахтне та підземне будівництво” Національний гірничий університет України, Дніпропетровськ, 2002 р.</w:t>
                              </w:r>
                            </w:p>
                            <w:p w14:paraId="0A5B982B" w14:textId="77777777" w:rsidR="003D507F" w:rsidRPr="003D507F" w:rsidRDefault="003D507F" w:rsidP="003D507F">
                              <w:pPr>
                                <w:spacing w:before="100" w:beforeAutospacing="1" w:after="100" w:afterAutospacing="1" w:line="240" w:lineRule="auto"/>
                                <w:rPr>
                                  <w:rFonts w:ascii="Times New Roman" w:eastAsia="Times New Roman" w:hAnsi="Times New Roman" w:cs="Times New Roman"/>
                                  <w:sz w:val="24"/>
                                  <w:szCs w:val="24"/>
                                </w:rPr>
                              </w:pPr>
                              <w:r w:rsidRPr="003D507F">
                                <w:rPr>
                                  <w:rFonts w:ascii="Times New Roman" w:eastAsia="Times New Roman" w:hAnsi="Times New Roman" w:cs="Times New Roman"/>
                                  <w:sz w:val="24"/>
                                  <w:szCs w:val="24"/>
                                </w:rPr>
                                <w:t>Дисертація присвячена питанням розробки технології ліквідації похилих гірничих виробок шахт, що закриваються, твердючими високодисперсними сумішами. На основі теоретичних та експериментальних досліджень обгрунтовані технологічні параметри ефективної ліквідації похилих виробок різного гірничотехнічного стану. У результаті виконаних досліджень обгрунтована область застосування способів ліквідації похилих виробок, встановлені закономірності деформування матеріалу засипки та течії високодисперсних сумішей під час тампонажу залишкової пустотности, вдосконалена методика розрахунку параметрів формування ізоляційних глиноцементних перемичок в аварійних виробках. Результати дисертаційної роботи дозволили розробити рецептури тампонажних сумішей на базі горілих і відвальних порід, методики проектування та технологічні схеми ліквідації засипаних і аварійних похилих виробок. Розроблена технологія успішно впроваджена на об’єктах ДК “Укрвуглереструктуризація”.</w:t>
                              </w:r>
                            </w:p>
                          </w:tc>
                        </w:tr>
                      </w:tbl>
                      <w:p w14:paraId="6FE4EDED" w14:textId="77777777" w:rsidR="003D507F" w:rsidRPr="003D507F" w:rsidRDefault="003D507F" w:rsidP="003D507F">
                        <w:pPr>
                          <w:spacing w:after="0" w:line="240" w:lineRule="auto"/>
                          <w:rPr>
                            <w:rFonts w:ascii="Times New Roman" w:eastAsia="Times New Roman" w:hAnsi="Times New Roman" w:cs="Times New Roman"/>
                            <w:sz w:val="24"/>
                            <w:szCs w:val="24"/>
                          </w:rPr>
                        </w:pPr>
                      </w:p>
                    </w:tc>
                  </w:tr>
                  <w:tr w:rsidR="003D507F" w:rsidRPr="003D507F" w14:paraId="737AD532" w14:textId="77777777">
                    <w:trPr>
                      <w:tblCellSpacing w:w="0" w:type="dxa"/>
                    </w:trPr>
                    <w:tc>
                      <w:tcPr>
                        <w:tcW w:w="0" w:type="auto"/>
                        <w:vAlign w:val="center"/>
                        <w:hideMark/>
                      </w:tcPr>
                      <w:p w14:paraId="5E977546" w14:textId="77777777" w:rsidR="003D507F" w:rsidRPr="003D507F" w:rsidRDefault="003D507F" w:rsidP="003D507F">
                        <w:pPr>
                          <w:spacing w:after="0" w:line="240" w:lineRule="auto"/>
                          <w:rPr>
                            <w:rFonts w:ascii="Times New Roman" w:eastAsia="Times New Roman" w:hAnsi="Times New Roman" w:cs="Times New Roman"/>
                          </w:rPr>
                        </w:pPr>
                      </w:p>
                    </w:tc>
                  </w:tr>
                  <w:tr w:rsidR="003D507F" w:rsidRPr="003D507F" w14:paraId="3E27569C" w14:textId="77777777">
                    <w:trPr>
                      <w:tblCellSpacing w:w="0" w:type="dxa"/>
                    </w:trPr>
                    <w:tc>
                      <w:tcPr>
                        <w:tcW w:w="0" w:type="auto"/>
                        <w:vAlign w:val="center"/>
                        <w:hideMark/>
                      </w:tcPr>
                      <w:p w14:paraId="4A51C60A" w14:textId="77777777" w:rsidR="003D507F" w:rsidRPr="003D507F" w:rsidRDefault="003D507F" w:rsidP="003D507F">
                        <w:pPr>
                          <w:spacing w:after="0" w:line="240" w:lineRule="auto"/>
                          <w:rPr>
                            <w:rFonts w:ascii="Times New Roman" w:eastAsia="Times New Roman" w:hAnsi="Times New Roman" w:cs="Times New Roman"/>
                            <w:sz w:val="24"/>
                            <w:szCs w:val="24"/>
                          </w:rPr>
                        </w:pPr>
                      </w:p>
                    </w:tc>
                  </w:tr>
                </w:tbl>
                <w:p w14:paraId="06326482" w14:textId="77777777" w:rsidR="003D507F" w:rsidRPr="003D507F" w:rsidRDefault="003D507F" w:rsidP="003D507F">
                  <w:pPr>
                    <w:spacing w:after="0" w:line="240" w:lineRule="auto"/>
                    <w:rPr>
                      <w:rFonts w:ascii="Times New Roman" w:eastAsia="Times New Roman" w:hAnsi="Times New Roman" w:cs="Times New Roman"/>
                      <w:sz w:val="24"/>
                      <w:szCs w:val="24"/>
                    </w:rPr>
                  </w:pPr>
                </w:p>
              </w:tc>
            </w:tr>
          </w:tbl>
          <w:p w14:paraId="6BBA71EB" w14:textId="77777777" w:rsidR="003D507F" w:rsidRPr="003D507F" w:rsidRDefault="003D507F" w:rsidP="003D507F">
            <w:pPr>
              <w:spacing w:after="0" w:line="240" w:lineRule="auto"/>
              <w:rPr>
                <w:rFonts w:ascii="Times New Roman" w:eastAsia="Times New Roman" w:hAnsi="Times New Roman" w:cs="Times New Roman"/>
                <w:sz w:val="24"/>
                <w:szCs w:val="24"/>
              </w:rPr>
            </w:pPr>
          </w:p>
        </w:tc>
      </w:tr>
    </w:tbl>
    <w:p w14:paraId="163FACFD" w14:textId="77777777" w:rsidR="003D507F" w:rsidRPr="003D507F" w:rsidRDefault="003D507F" w:rsidP="003D507F"/>
    <w:sectPr w:rsidR="003D507F" w:rsidRPr="003D50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667E" w14:textId="77777777" w:rsidR="00043ED9" w:rsidRDefault="00043ED9">
      <w:pPr>
        <w:spacing w:after="0" w:line="240" w:lineRule="auto"/>
      </w:pPr>
      <w:r>
        <w:separator/>
      </w:r>
    </w:p>
  </w:endnote>
  <w:endnote w:type="continuationSeparator" w:id="0">
    <w:p w14:paraId="170E6529" w14:textId="77777777" w:rsidR="00043ED9" w:rsidRDefault="0004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F6B6" w14:textId="77777777" w:rsidR="00043ED9" w:rsidRDefault="00043ED9">
      <w:pPr>
        <w:spacing w:after="0" w:line="240" w:lineRule="auto"/>
      </w:pPr>
      <w:r>
        <w:separator/>
      </w:r>
    </w:p>
  </w:footnote>
  <w:footnote w:type="continuationSeparator" w:id="0">
    <w:p w14:paraId="731AD39D" w14:textId="77777777" w:rsidR="00043ED9" w:rsidRDefault="00043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3E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13DE1"/>
    <w:multiLevelType w:val="multilevel"/>
    <w:tmpl w:val="5028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1B5302"/>
    <w:multiLevelType w:val="multilevel"/>
    <w:tmpl w:val="67A6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F64C4"/>
    <w:multiLevelType w:val="multilevel"/>
    <w:tmpl w:val="199E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A70262"/>
    <w:multiLevelType w:val="multilevel"/>
    <w:tmpl w:val="0E84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F25D88"/>
    <w:multiLevelType w:val="multilevel"/>
    <w:tmpl w:val="E73A4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4C748B"/>
    <w:multiLevelType w:val="multilevel"/>
    <w:tmpl w:val="84B4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9F1AC9"/>
    <w:multiLevelType w:val="multilevel"/>
    <w:tmpl w:val="A09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8C2B18"/>
    <w:multiLevelType w:val="multilevel"/>
    <w:tmpl w:val="E826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022BDF"/>
    <w:multiLevelType w:val="multilevel"/>
    <w:tmpl w:val="747AF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1"/>
  </w:num>
  <w:num w:numId="3">
    <w:abstractNumId w:val="27"/>
  </w:num>
  <w:num w:numId="4">
    <w:abstractNumId w:val="3"/>
  </w:num>
  <w:num w:numId="5">
    <w:abstractNumId w:val="7"/>
  </w:num>
  <w:num w:numId="6">
    <w:abstractNumId w:val="29"/>
  </w:num>
  <w:num w:numId="7">
    <w:abstractNumId w:val="34"/>
  </w:num>
  <w:num w:numId="8">
    <w:abstractNumId w:val="30"/>
  </w:num>
  <w:num w:numId="9">
    <w:abstractNumId w:val="2"/>
  </w:num>
  <w:num w:numId="10">
    <w:abstractNumId w:val="28"/>
  </w:num>
  <w:num w:numId="11">
    <w:abstractNumId w:val="9"/>
  </w:num>
  <w:num w:numId="12">
    <w:abstractNumId w:val="15"/>
  </w:num>
  <w:num w:numId="13">
    <w:abstractNumId w:val="45"/>
  </w:num>
  <w:num w:numId="14">
    <w:abstractNumId w:val="24"/>
  </w:num>
  <w:num w:numId="15">
    <w:abstractNumId w:val="43"/>
  </w:num>
  <w:num w:numId="16">
    <w:abstractNumId w:val="20"/>
  </w:num>
  <w:num w:numId="17">
    <w:abstractNumId w:val="16"/>
  </w:num>
  <w:num w:numId="18">
    <w:abstractNumId w:val="40"/>
  </w:num>
  <w:num w:numId="19">
    <w:abstractNumId w:val="17"/>
  </w:num>
  <w:num w:numId="20">
    <w:abstractNumId w:val="33"/>
  </w:num>
  <w:num w:numId="21">
    <w:abstractNumId w:val="10"/>
  </w:num>
  <w:num w:numId="22">
    <w:abstractNumId w:val="48"/>
  </w:num>
  <w:num w:numId="23">
    <w:abstractNumId w:val="6"/>
  </w:num>
  <w:num w:numId="24">
    <w:abstractNumId w:val="1"/>
  </w:num>
  <w:num w:numId="25">
    <w:abstractNumId w:val="49"/>
  </w:num>
  <w:num w:numId="26">
    <w:abstractNumId w:val="35"/>
  </w:num>
  <w:num w:numId="27">
    <w:abstractNumId w:val="18"/>
  </w:num>
  <w:num w:numId="28">
    <w:abstractNumId w:val="19"/>
  </w:num>
  <w:num w:numId="29">
    <w:abstractNumId w:val="26"/>
  </w:num>
  <w:num w:numId="30">
    <w:abstractNumId w:val="23"/>
  </w:num>
  <w:num w:numId="31">
    <w:abstractNumId w:val="37"/>
  </w:num>
  <w:num w:numId="32">
    <w:abstractNumId w:val="22"/>
  </w:num>
  <w:num w:numId="33">
    <w:abstractNumId w:val="0"/>
  </w:num>
  <w:num w:numId="34">
    <w:abstractNumId w:val="47"/>
  </w:num>
  <w:num w:numId="35">
    <w:abstractNumId w:val="38"/>
  </w:num>
  <w:num w:numId="36">
    <w:abstractNumId w:val="8"/>
  </w:num>
  <w:num w:numId="37">
    <w:abstractNumId w:val="12"/>
  </w:num>
  <w:num w:numId="38">
    <w:abstractNumId w:val="39"/>
  </w:num>
  <w:num w:numId="39">
    <w:abstractNumId w:val="46"/>
  </w:num>
  <w:num w:numId="40">
    <w:abstractNumId w:val="21"/>
  </w:num>
  <w:num w:numId="41">
    <w:abstractNumId w:val="5"/>
  </w:num>
  <w:num w:numId="42">
    <w:abstractNumId w:val="36"/>
  </w:num>
  <w:num w:numId="43">
    <w:abstractNumId w:val="14"/>
  </w:num>
  <w:num w:numId="44">
    <w:abstractNumId w:val="4"/>
  </w:num>
  <w:num w:numId="45">
    <w:abstractNumId w:val="31"/>
  </w:num>
  <w:num w:numId="46">
    <w:abstractNumId w:val="13"/>
  </w:num>
  <w:num w:numId="47">
    <w:abstractNumId w:val="11"/>
  </w:num>
  <w:num w:numId="48">
    <w:abstractNumId w:val="25"/>
  </w:num>
  <w:num w:numId="49">
    <w:abstractNumId w:val="4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ED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106395</TotalTime>
  <Pages>1</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1457</cp:revision>
  <dcterms:created xsi:type="dcterms:W3CDTF">2024-06-20T08:51:00Z</dcterms:created>
  <dcterms:modified xsi:type="dcterms:W3CDTF">2024-12-26T07:02:00Z</dcterms:modified>
  <cp:category/>
</cp:coreProperties>
</file>