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B1CC" w14:textId="27D107E5" w:rsidR="00FC2DBE" w:rsidRDefault="007A75A6" w:rsidP="007A75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Дідух Володимир Федорович. Науково-технологічні основи механізованого сушіння неоднорідних рослинних матеріалів: дисертація д-ра техн. наук: 05.05.11 / Тернопільський держ. технічний ун-т ім. Івана Пулюя. - Т., 2003</w:t>
      </w:r>
    </w:p>
    <w:p w14:paraId="3E8FC401" w14:textId="77777777" w:rsidR="007A75A6" w:rsidRPr="007A75A6" w:rsidRDefault="007A75A6" w:rsidP="007A7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Баландіна Н.Ф. Функціонально-прагматичний і лінгвоментальний аналіз чеських прагматичних кліше. – Рукопис.</w:t>
      </w:r>
    </w:p>
    <w:p w14:paraId="2C5F3E2B" w14:textId="77777777" w:rsidR="007A75A6" w:rsidRPr="007A75A6" w:rsidRDefault="007A75A6" w:rsidP="007A7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5A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філологічних наук зі спеціальності 10.02.03 – слов’янські мови. – Інститут української мови НАН України, Київ, 2003.</w:t>
      </w:r>
    </w:p>
    <w:p w14:paraId="5CE0CF5C" w14:textId="77777777" w:rsidR="007A75A6" w:rsidRPr="007A75A6" w:rsidRDefault="007A75A6" w:rsidP="007A7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5A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функціонально-прагматичному аналізу значення чеських прагматичних кліше – міжрівневим одиницям, значення і призначення яких сформовано мовною і мовленнєвою системами. Пропонується сприймати значення як відносно стабільно організовану референційну, емоційну і функціонально-смислову інформацію, добуту на перетині семантики та прагматики, зумовлену контекстуальністю та призначенням впливати на емоції, інтелект і поведінку комунікантів. Комунікативно-прагматична типологія ПК ґрунтується на функціонально-семантичних критеріях, насамперед на актомовленнєвих (ілокутивних) функціях. На цій підставі виділено ПК звертання, знайомства, вітання, прощання, ритуального і неритуального запиту інформації, привертання уваги, метатекстові оператори, прохання, пропозиції, запрошення, поради, похвали, компліменту, подяки, вибачення, згоди, незгоди, у межах яких виявлено додаткові ілокутивні підтипи. На основі спорідненості функціональних ознак утворено крупніші угруповання – метакомунікативні, спонукальні, оцінні, співпереживання і негопозитивні ПК.</w:t>
      </w:r>
    </w:p>
    <w:p w14:paraId="377FF129" w14:textId="77777777" w:rsidR="007A75A6" w:rsidRPr="007A75A6" w:rsidRDefault="007A75A6" w:rsidP="007A7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5A6">
        <w:rPr>
          <w:rFonts w:ascii="Times New Roman" w:eastAsia="Times New Roman" w:hAnsi="Times New Roman" w:cs="Times New Roman"/>
          <w:color w:val="000000"/>
          <w:sz w:val="27"/>
          <w:szCs w:val="27"/>
        </w:rPr>
        <w:t>Кожен смисловий різновид ґрунтується не тільки на притаманних йому типізованих семантичних елементах пресупозиції вживання і функціях, а й на мовних і немовних індикаторах функцій, а також синтагматичних і парадигматичних зв’язках з іншими ПК.</w:t>
      </w:r>
    </w:p>
    <w:p w14:paraId="19289CDB" w14:textId="77777777" w:rsidR="007A75A6" w:rsidRPr="007A75A6" w:rsidRDefault="007A75A6" w:rsidP="007A75A6"/>
    <w:sectPr w:rsidR="007A75A6" w:rsidRPr="007A75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DE6A" w14:textId="77777777" w:rsidR="008B79EA" w:rsidRDefault="008B79EA">
      <w:pPr>
        <w:spacing w:after="0" w:line="240" w:lineRule="auto"/>
      </w:pPr>
      <w:r>
        <w:separator/>
      </w:r>
    </w:p>
  </w:endnote>
  <w:endnote w:type="continuationSeparator" w:id="0">
    <w:p w14:paraId="3E9B903B" w14:textId="77777777" w:rsidR="008B79EA" w:rsidRDefault="008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656B" w14:textId="77777777" w:rsidR="008B79EA" w:rsidRDefault="008B79EA">
      <w:pPr>
        <w:spacing w:after="0" w:line="240" w:lineRule="auto"/>
      </w:pPr>
      <w:r>
        <w:separator/>
      </w:r>
    </w:p>
  </w:footnote>
  <w:footnote w:type="continuationSeparator" w:id="0">
    <w:p w14:paraId="2AA2A003" w14:textId="77777777" w:rsidR="008B79EA" w:rsidRDefault="008B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79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9EA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79507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3269</cp:revision>
  <dcterms:created xsi:type="dcterms:W3CDTF">2024-06-20T08:51:00Z</dcterms:created>
  <dcterms:modified xsi:type="dcterms:W3CDTF">2024-11-25T06:45:00Z</dcterms:modified>
  <cp:category/>
</cp:coreProperties>
</file>