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611A"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Крымская, Ольга Александровна.</w:t>
      </w:r>
    </w:p>
    <w:p w14:paraId="4F742126"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Влияние субструктурной неоднородности текстурованных сплавов на основе циркония на анизотропию их физико-механических свойств : диссертация ... кандидата физико-математических наук : 01.04.07 / Крымская Ольга Александровна; [Место защиты: ФГАОУ ВО «Национальный исследовательский ядерный университет «МИФИ»]. - Москва, 2020. - 137 с. : ил.</w:t>
      </w:r>
    </w:p>
    <w:p w14:paraId="35288EA4"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Оглавление диссертациикандидат наук Крымская Ольга Александровна</w:t>
      </w:r>
    </w:p>
    <w:p w14:paraId="6FF4E944"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Введение</w:t>
      </w:r>
    </w:p>
    <w:p w14:paraId="21A5BEAE"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Глава 1. Обзор методов расчета анизотропии физико-механических свойств сплавов на основе циркония с развитой кристаллографической текстурой</w:t>
      </w:r>
    </w:p>
    <w:p w14:paraId="6E90DF1E"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1.1. Анизотропные свойства текстурованных сплавов на основе циркония</w:t>
      </w:r>
    </w:p>
    <w:p w14:paraId="46CC6DCC"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1.2. Кристаллографическая текстура как источник анизотропии свойств</w:t>
      </w:r>
    </w:p>
    <w:p w14:paraId="2B9CF42B"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1.2.1. Описание и количественные параметры текстуры</w:t>
      </w:r>
    </w:p>
    <w:p w14:paraId="3F4FCCEB"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1.2.2. Типичные текстуры прокатки и рекристаллизации циркониевых сплавов</w:t>
      </w:r>
    </w:p>
    <w:p w14:paraId="73752F28"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1.2.3. Субструктурная неоднородность текстурованных циркониевых сплавов</w:t>
      </w:r>
    </w:p>
    <w:p w14:paraId="719EFEED"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1.3. Принципы расчета анизотропии физико-механических свойств текстурованных циркониевых сплавов</w:t>
      </w:r>
    </w:p>
    <w:p w14:paraId="7BA6AB6D"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1.3.1. Расчет свойств по интегральным параметрам текстуры</w:t>
      </w:r>
    </w:p>
    <w:p w14:paraId="440B7300"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1.3.2. Определение анизотропии тензорных свойств на основе ФРО</w:t>
      </w:r>
    </w:p>
    <w:p w14:paraId="0647B154"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1.4. Оценка анизотропии пластических свойств</w:t>
      </w:r>
    </w:p>
    <w:p w14:paraId="076A8D54"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1.4.1. Принципы расчета</w:t>
      </w:r>
    </w:p>
    <w:p w14:paraId="1DBC90A1"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1.4.2. Моделирование пластического поведения текстурованных циркониевых сплавов</w:t>
      </w:r>
    </w:p>
    <w:p w14:paraId="66054468"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Заключение</w:t>
      </w:r>
    </w:p>
    <w:p w14:paraId="731E3467"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Глава 2. Развитие количественных методов анализа кристаллографической текстуры и субструктурой неоднородности текстурованных циркониевых сплавов</w:t>
      </w:r>
    </w:p>
    <w:p w14:paraId="68CD3F76"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2.1. Оптимизация методики восстановления ФРО циркониевых сплавов</w:t>
      </w:r>
    </w:p>
    <w:p w14:paraId="25088F60"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2.2. Субструктурная неоднородность прокатанных пластин из сплавов на основе циркония</w:t>
      </w:r>
    </w:p>
    <w:p w14:paraId="547112DE"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2.2.1. Адаптация методики записи ОППФ применительно к современным дифрактометрам</w:t>
      </w:r>
    </w:p>
    <w:p w14:paraId="10EDA2F2"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2.2.2. Экспериментальные результаты</w:t>
      </w:r>
    </w:p>
    <w:p w14:paraId="0790DEA8"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2.3. Выводы</w:t>
      </w:r>
    </w:p>
    <w:p w14:paraId="5BBA841C"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Глава 3. Учет субструктурных параметров текстурованных сплавов в расчетах анизотропии их физико-механических свойств</w:t>
      </w:r>
    </w:p>
    <w:p w14:paraId="1D6AFF0A"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3.1. Анизотропия упругих свойств и КЛТР текстурованных циркониевых сплавов</w:t>
      </w:r>
    </w:p>
    <w:p w14:paraId="2CC6E672"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3.1.1. Упругие константы монокристалла а-2т</w:t>
      </w:r>
    </w:p>
    <w:p w14:paraId="658365A6"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lastRenderedPageBreak/>
        <w:t>3.1.2. Расчет модулей упругости поликристалла на основе минимизации запасенной энергии</w:t>
      </w:r>
    </w:p>
    <w:p w14:paraId="7CDF8105"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3.1.3. Апробация предложенного алгоритма</w:t>
      </w:r>
    </w:p>
    <w:p w14:paraId="2565965A"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3.1.4. Алгоритм расчета КЛТР</w:t>
      </w:r>
    </w:p>
    <w:p w14:paraId="4545C626"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3.2. Алгоритм расчета анизотропии пределов текучести</w:t>
      </w:r>
    </w:p>
    <w:p w14:paraId="20CF7646"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3.3. Влияние субструктурной неоднородности на процессы рекристаллизации</w:t>
      </w:r>
    </w:p>
    <w:p w14:paraId="51F9266F"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3.4. Выводы</w:t>
      </w:r>
    </w:p>
    <w:p w14:paraId="5E444358"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Глава 4. Закономерности изменения кристаллографической текстуры, субстуруктурных характеристик и анизотропии свойств циркониевых изделий в процессе нагружения</w:t>
      </w:r>
    </w:p>
    <w:p w14:paraId="7BD86AB2"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4.1. Одноосное растяжение</w:t>
      </w:r>
    </w:p>
    <w:p w14:paraId="388225CD"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4.1.1. Диаграммы деформирования</w:t>
      </w:r>
    </w:p>
    <w:p w14:paraId="73F0FC1E"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4.1.2. Изменение текстуры и субструктуры образцов в процессе нагружения</w:t>
      </w:r>
    </w:p>
    <w:p w14:paraId="7F04F225"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4.1.3. Расчет анизотропии пределов текучести и ее изменения в процессе нагружения</w:t>
      </w:r>
    </w:p>
    <w:p w14:paraId="7BCA8154"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4.2. Одноосное сжатие</w:t>
      </w:r>
    </w:p>
    <w:p w14:paraId="22D07884"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4.3. Выводы</w:t>
      </w:r>
    </w:p>
    <w:p w14:paraId="32AC2351"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Заключение</w:t>
      </w:r>
    </w:p>
    <w:p w14:paraId="10D39938"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Список использованных литературных источников</w:t>
      </w:r>
    </w:p>
    <w:p w14:paraId="20A9B510"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Приложение 1. Акт внедрения Методики текстурного анализа и определения в автоматическом режиме интегральных параметров текстуры циркониевых изделий (МИ 345.000.013-2016)</w:t>
      </w:r>
    </w:p>
    <w:p w14:paraId="2993F7BD"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Приложение 2. Свидетельство о регистрации программы для ЭВМ «FIGUREN»</w:t>
      </w:r>
    </w:p>
    <w:p w14:paraId="2C93C7BB"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Приложение 3. Свидетельство о регистрации программы для ЭВМ «GPF»</w:t>
      </w:r>
    </w:p>
    <w:p w14:paraId="3C622202" w14:textId="77777777" w:rsidR="005F1DD1" w:rsidRPr="005F1DD1" w:rsidRDefault="005F1DD1" w:rsidP="005F1DD1">
      <w:pPr>
        <w:rPr>
          <w:rFonts w:ascii="Helvetica" w:eastAsia="Symbol" w:hAnsi="Helvetica" w:cs="Helvetica"/>
          <w:b/>
          <w:bCs/>
          <w:color w:val="222222"/>
          <w:kern w:val="0"/>
          <w:sz w:val="21"/>
          <w:szCs w:val="21"/>
          <w:lang w:eastAsia="ru-RU"/>
        </w:rPr>
      </w:pPr>
      <w:r w:rsidRPr="005F1DD1">
        <w:rPr>
          <w:rFonts w:ascii="Helvetica" w:eastAsia="Symbol" w:hAnsi="Helvetica" w:cs="Helvetica"/>
          <w:b/>
          <w:bCs/>
          <w:color w:val="222222"/>
          <w:kern w:val="0"/>
          <w:sz w:val="21"/>
          <w:szCs w:val="21"/>
          <w:lang w:eastAsia="ru-RU"/>
        </w:rPr>
        <w:t>Приложение 4. Фрагменты кодов разработанных программ</w:t>
      </w:r>
    </w:p>
    <w:p w14:paraId="071EBB05" w14:textId="41065B91" w:rsidR="00E67B85" w:rsidRPr="005F1DD1" w:rsidRDefault="00E67B85" w:rsidP="005F1DD1"/>
    <w:sectPr w:rsidR="00E67B85" w:rsidRPr="005F1D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D010" w14:textId="77777777" w:rsidR="00001A96" w:rsidRDefault="00001A96">
      <w:pPr>
        <w:spacing w:after="0" w:line="240" w:lineRule="auto"/>
      </w:pPr>
      <w:r>
        <w:separator/>
      </w:r>
    </w:p>
  </w:endnote>
  <w:endnote w:type="continuationSeparator" w:id="0">
    <w:p w14:paraId="5529754D" w14:textId="77777777" w:rsidR="00001A96" w:rsidRDefault="0000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C8DC" w14:textId="77777777" w:rsidR="00001A96" w:rsidRDefault="00001A96"/>
    <w:p w14:paraId="5A17575E" w14:textId="77777777" w:rsidR="00001A96" w:rsidRDefault="00001A96"/>
    <w:p w14:paraId="4C7F9ADF" w14:textId="77777777" w:rsidR="00001A96" w:rsidRDefault="00001A96"/>
    <w:p w14:paraId="5665422A" w14:textId="77777777" w:rsidR="00001A96" w:rsidRDefault="00001A96"/>
    <w:p w14:paraId="05A82758" w14:textId="77777777" w:rsidR="00001A96" w:rsidRDefault="00001A96"/>
    <w:p w14:paraId="1EFA0588" w14:textId="77777777" w:rsidR="00001A96" w:rsidRDefault="00001A96"/>
    <w:p w14:paraId="78B2EC79" w14:textId="77777777" w:rsidR="00001A96" w:rsidRDefault="00001A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A63B6C" wp14:editId="664286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B31C8" w14:textId="77777777" w:rsidR="00001A96" w:rsidRDefault="00001A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63B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CB31C8" w14:textId="77777777" w:rsidR="00001A96" w:rsidRDefault="00001A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26D566" w14:textId="77777777" w:rsidR="00001A96" w:rsidRDefault="00001A96"/>
    <w:p w14:paraId="03D54BDA" w14:textId="77777777" w:rsidR="00001A96" w:rsidRDefault="00001A96"/>
    <w:p w14:paraId="28CB9A9A" w14:textId="77777777" w:rsidR="00001A96" w:rsidRDefault="00001A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32E97D" wp14:editId="393419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948B9" w14:textId="77777777" w:rsidR="00001A96" w:rsidRDefault="00001A96"/>
                          <w:p w14:paraId="7D67BCC4" w14:textId="77777777" w:rsidR="00001A96" w:rsidRDefault="00001A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2E9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F948B9" w14:textId="77777777" w:rsidR="00001A96" w:rsidRDefault="00001A96"/>
                    <w:p w14:paraId="7D67BCC4" w14:textId="77777777" w:rsidR="00001A96" w:rsidRDefault="00001A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F6DD74" w14:textId="77777777" w:rsidR="00001A96" w:rsidRDefault="00001A96"/>
    <w:p w14:paraId="0A9A7BBB" w14:textId="77777777" w:rsidR="00001A96" w:rsidRDefault="00001A96">
      <w:pPr>
        <w:rPr>
          <w:sz w:val="2"/>
          <w:szCs w:val="2"/>
        </w:rPr>
      </w:pPr>
    </w:p>
    <w:p w14:paraId="638962D3" w14:textId="77777777" w:rsidR="00001A96" w:rsidRDefault="00001A96"/>
    <w:p w14:paraId="28A12F74" w14:textId="77777777" w:rsidR="00001A96" w:rsidRDefault="00001A96">
      <w:pPr>
        <w:spacing w:after="0" w:line="240" w:lineRule="auto"/>
      </w:pPr>
    </w:p>
  </w:footnote>
  <w:footnote w:type="continuationSeparator" w:id="0">
    <w:p w14:paraId="34AB30CC" w14:textId="77777777" w:rsidR="00001A96" w:rsidRDefault="0000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A96"/>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110222</TotalTime>
  <Pages>2</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1700</cp:revision>
  <cp:lastPrinted>2009-02-06T05:36:00Z</cp:lastPrinted>
  <dcterms:created xsi:type="dcterms:W3CDTF">2024-01-07T13:43:00Z</dcterms:created>
  <dcterms:modified xsi:type="dcterms:W3CDTF">2025-06-09T10:47:00Z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