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21BCD" w14:textId="77777777" w:rsidR="00102DEB" w:rsidRDefault="00102DEB" w:rsidP="00102DEB">
      <w:pPr>
        <w:pStyle w:val="afffffffffffffffffffffffffff5"/>
        <w:rPr>
          <w:rFonts w:ascii="Verdana" w:hAnsi="Verdana"/>
          <w:color w:val="000000"/>
          <w:sz w:val="21"/>
          <w:szCs w:val="21"/>
        </w:rPr>
      </w:pPr>
      <w:r>
        <w:rPr>
          <w:rFonts w:ascii="Helvetica Neue" w:hAnsi="Helvetica Neue"/>
          <w:b/>
          <w:bCs w:val="0"/>
          <w:color w:val="222222"/>
          <w:sz w:val="21"/>
          <w:szCs w:val="21"/>
        </w:rPr>
        <w:t>Красников, Михаил Юрьевич.</w:t>
      </w:r>
      <w:r>
        <w:rPr>
          <w:rFonts w:ascii="Helvetica Neue" w:hAnsi="Helvetica Neue"/>
          <w:color w:val="222222"/>
          <w:sz w:val="21"/>
          <w:szCs w:val="21"/>
        </w:rPr>
        <w:br/>
        <w:t xml:space="preserve">Циклотронно-резонансное взаимодействие в магнетронном </w:t>
      </w:r>
      <w:proofErr w:type="gramStart"/>
      <w:r>
        <w:rPr>
          <w:rFonts w:ascii="Helvetica Neue" w:hAnsi="Helvetica Neue"/>
          <w:color w:val="222222"/>
          <w:sz w:val="21"/>
          <w:szCs w:val="21"/>
        </w:rPr>
        <w:t>генераторе :</w:t>
      </w:r>
      <w:proofErr w:type="gramEnd"/>
      <w:r>
        <w:rPr>
          <w:rFonts w:ascii="Helvetica Neue" w:hAnsi="Helvetica Neue"/>
          <w:color w:val="222222"/>
          <w:sz w:val="21"/>
          <w:szCs w:val="21"/>
        </w:rPr>
        <w:t xml:space="preserve"> диссертация ... кандидата физико-математических наук : 01.04.03. - Горький, 1983. - 146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2361679C" w14:textId="77777777" w:rsidR="00102DEB" w:rsidRDefault="00102DEB" w:rsidP="00102DEB">
      <w:pPr>
        <w:pStyle w:val="20"/>
        <w:spacing w:before="0" w:after="312"/>
        <w:rPr>
          <w:rFonts w:ascii="Arial" w:hAnsi="Arial" w:cs="Arial"/>
          <w:caps/>
          <w:color w:val="333333"/>
          <w:sz w:val="27"/>
          <w:szCs w:val="27"/>
        </w:rPr>
      </w:pPr>
    </w:p>
    <w:p w14:paraId="6AD080DE" w14:textId="77777777" w:rsidR="00102DEB" w:rsidRDefault="00102DEB" w:rsidP="00102DE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Красников, Михаил Юрьевич</w:t>
      </w:r>
    </w:p>
    <w:p w14:paraId="5BECC380"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14F346"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аналитического исследования динамического режима многорезонаторного магнетрона (обзор)</w:t>
      </w:r>
    </w:p>
    <w:p w14:paraId="2FC57BE1"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Проблемы нелинейной теории магнетрона</w:t>
      </w:r>
    </w:p>
    <w:p w14:paraId="462E2A19"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Возбуждение резонаторной системы магнетрона электронным </w:t>
      </w:r>
      <w:proofErr w:type="gramStart"/>
      <w:r>
        <w:rPr>
          <w:rFonts w:ascii="Arial" w:hAnsi="Arial" w:cs="Arial"/>
          <w:color w:val="333333"/>
          <w:sz w:val="21"/>
          <w:szCs w:val="21"/>
        </w:rPr>
        <w:t>потоком.Уравнения</w:t>
      </w:r>
      <w:proofErr w:type="gramEnd"/>
      <w:r>
        <w:rPr>
          <w:rFonts w:ascii="Arial" w:hAnsi="Arial" w:cs="Arial"/>
          <w:color w:val="333333"/>
          <w:sz w:val="21"/>
          <w:szCs w:val="21"/>
        </w:rPr>
        <w:t xml:space="preserve"> движения.Метод усреднения</w:t>
      </w:r>
    </w:p>
    <w:p w14:paraId="7411E63B"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Условия применимости метода усреднения </w:t>
      </w:r>
      <w:proofErr w:type="gramStart"/>
      <w:r>
        <w:rPr>
          <w:rFonts w:ascii="Arial" w:hAnsi="Arial" w:cs="Arial"/>
          <w:color w:val="333333"/>
          <w:sz w:val="21"/>
          <w:szCs w:val="21"/>
        </w:rPr>
        <w:t>вывода.зз</w:t>
      </w:r>
      <w:proofErr w:type="gramEnd"/>
    </w:p>
    <w:p w14:paraId="6DBA6DE0"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Основные особенности режима циклотронного резонанса в магнетроне.</w:t>
      </w:r>
    </w:p>
    <w:p w14:paraId="241621BD"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Траектории электронов в плоском магнетроне при циклотронном резонансе</w:t>
      </w:r>
    </w:p>
    <w:p w14:paraId="001910C7"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Резонансное взаимодействие в цилиндрическом магнетроне</w:t>
      </w:r>
    </w:p>
    <w:p w14:paraId="5CA54FD9"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Расчёт мощности цилиндрического магнетрона в режиме циклотронного резонанса</w:t>
      </w:r>
    </w:p>
    <w:p w14:paraId="4CF52275"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Экспериментальные </w:t>
      </w:r>
      <w:proofErr w:type="gramStart"/>
      <w:r>
        <w:rPr>
          <w:rFonts w:ascii="Arial" w:hAnsi="Arial" w:cs="Arial"/>
          <w:color w:val="333333"/>
          <w:sz w:val="21"/>
          <w:szCs w:val="21"/>
        </w:rPr>
        <w:t>результаты.Режим</w:t>
      </w:r>
      <w:proofErr w:type="gramEnd"/>
      <w:r>
        <w:rPr>
          <w:rFonts w:ascii="Arial" w:hAnsi="Arial" w:cs="Arial"/>
          <w:color w:val="333333"/>
          <w:sz w:val="21"/>
          <w:szCs w:val="21"/>
        </w:rPr>
        <w:t xml:space="preserve"> слабых магнитных полей.</w:t>
      </w:r>
    </w:p>
    <w:p w14:paraId="7337B5D2"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B4738E4"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Фазовая группировка электронов с учётом слаборелятивистских эффектов. Влияние орбитальных резонансов на работу магнетронного генератора в синхронном режиме.</w:t>
      </w:r>
    </w:p>
    <w:p w14:paraId="365E698E"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Качественный анализ фазовых траекторий</w:t>
      </w:r>
    </w:p>
    <w:p w14:paraId="5F04478C"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Результаты расчёта траекторий электронов</w:t>
      </w:r>
    </w:p>
    <w:p w14:paraId="4239B354"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Механизм взаимодействия электронов с высокочастотным полем при двойном резонансе.</w:t>
      </w:r>
    </w:p>
    <w:p w14:paraId="3AA185D1"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19776C5"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Прикатодные явления и пространственный заряд</w:t>
      </w:r>
    </w:p>
    <w:p w14:paraId="0AB4473A"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 механизме орбитального резонанса.</w:t>
      </w:r>
    </w:p>
    <w:p w14:paraId="411D1F83"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Анализ процессов, происходящих на катоде магнетронного генератора при орбитальном резонансе</w:t>
      </w:r>
    </w:p>
    <w:p w14:paraId="154EBB36"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Группировка электронов в магнетроне с вторично-эмиссионным катодом.</w:t>
      </w:r>
    </w:p>
    <w:p w14:paraId="0870B933"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Статический режим плоского магнетронного диода с учётом пространственного заряда (модель однородного распределения заряда)</w:t>
      </w:r>
    </w:p>
    <w:p w14:paraId="677D7DF1"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Анализ динамического режима многорезонаторного магнетрона с учётом пространственного заряда</w:t>
      </w:r>
    </w:p>
    <w:p w14:paraId="54556B07" w14:textId="77777777" w:rsidR="00102DEB" w:rsidRDefault="00102DEB" w:rsidP="00102D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73375769" w:rsidR="00E67B85" w:rsidRPr="00102DEB" w:rsidRDefault="00E67B85" w:rsidP="00102DEB"/>
    <w:sectPr w:rsidR="00E67B85" w:rsidRPr="00102D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5D7D" w14:textId="77777777" w:rsidR="00C67562" w:rsidRDefault="00C67562">
      <w:pPr>
        <w:spacing w:after="0" w:line="240" w:lineRule="auto"/>
      </w:pPr>
      <w:r>
        <w:separator/>
      </w:r>
    </w:p>
  </w:endnote>
  <w:endnote w:type="continuationSeparator" w:id="0">
    <w:p w14:paraId="6522DCD1" w14:textId="77777777" w:rsidR="00C67562" w:rsidRDefault="00C6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C0DD" w14:textId="77777777" w:rsidR="00C67562" w:rsidRDefault="00C67562"/>
    <w:p w14:paraId="605AA671" w14:textId="77777777" w:rsidR="00C67562" w:rsidRDefault="00C67562"/>
    <w:p w14:paraId="10B013D2" w14:textId="77777777" w:rsidR="00C67562" w:rsidRDefault="00C67562"/>
    <w:p w14:paraId="4DF51FCD" w14:textId="77777777" w:rsidR="00C67562" w:rsidRDefault="00C67562"/>
    <w:p w14:paraId="4FD1E45F" w14:textId="77777777" w:rsidR="00C67562" w:rsidRDefault="00C67562"/>
    <w:p w14:paraId="4232F5BD" w14:textId="77777777" w:rsidR="00C67562" w:rsidRDefault="00C67562"/>
    <w:p w14:paraId="380A3CB6" w14:textId="77777777" w:rsidR="00C67562" w:rsidRDefault="00C675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983B49" wp14:editId="27275F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C7157" w14:textId="77777777" w:rsidR="00C67562" w:rsidRDefault="00C675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983B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EC7157" w14:textId="77777777" w:rsidR="00C67562" w:rsidRDefault="00C675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C7DEEA" w14:textId="77777777" w:rsidR="00C67562" w:rsidRDefault="00C67562"/>
    <w:p w14:paraId="3DBFBE2E" w14:textId="77777777" w:rsidR="00C67562" w:rsidRDefault="00C67562"/>
    <w:p w14:paraId="7FEFB842" w14:textId="77777777" w:rsidR="00C67562" w:rsidRDefault="00C675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848E79" wp14:editId="745A82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2E744" w14:textId="77777777" w:rsidR="00C67562" w:rsidRDefault="00C67562"/>
                          <w:p w14:paraId="207F0C2C" w14:textId="77777777" w:rsidR="00C67562" w:rsidRDefault="00C675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48E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52E744" w14:textId="77777777" w:rsidR="00C67562" w:rsidRDefault="00C67562"/>
                    <w:p w14:paraId="207F0C2C" w14:textId="77777777" w:rsidR="00C67562" w:rsidRDefault="00C675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7CBC1B" w14:textId="77777777" w:rsidR="00C67562" w:rsidRDefault="00C67562"/>
    <w:p w14:paraId="0E4922AA" w14:textId="77777777" w:rsidR="00C67562" w:rsidRDefault="00C67562">
      <w:pPr>
        <w:rPr>
          <w:sz w:val="2"/>
          <w:szCs w:val="2"/>
        </w:rPr>
      </w:pPr>
    </w:p>
    <w:p w14:paraId="26C398D8" w14:textId="77777777" w:rsidR="00C67562" w:rsidRDefault="00C67562"/>
    <w:p w14:paraId="38CB5C14" w14:textId="77777777" w:rsidR="00C67562" w:rsidRDefault="00C67562">
      <w:pPr>
        <w:spacing w:after="0" w:line="240" w:lineRule="auto"/>
      </w:pPr>
    </w:p>
  </w:footnote>
  <w:footnote w:type="continuationSeparator" w:id="0">
    <w:p w14:paraId="0365D68A" w14:textId="77777777" w:rsidR="00C67562" w:rsidRDefault="00C6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62"/>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118894</TotalTime>
  <Pages>2</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2643</cp:revision>
  <cp:lastPrinted>2009-02-06T05:36:00Z</cp:lastPrinted>
  <dcterms:created xsi:type="dcterms:W3CDTF">2024-01-07T13:43:00Z</dcterms:created>
  <dcterms:modified xsi:type="dcterms:W3CDTF">2025-06-20T16:08:00Z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