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CC1CAF" w:rsidRDefault="00CC1CAF" w:rsidP="00CC1CAF">
      <w:pPr>
        <w:pStyle w:val="-f0"/>
        <w:spacing w:line="360" w:lineRule="auto"/>
        <w:ind w:firstLine="0"/>
        <w:jc w:val="center"/>
        <w:rPr>
          <w:rFonts w:ascii="Times New Roman" w:hAnsi="Times New Roman"/>
          <w:bCs/>
          <w:iCs/>
          <w:caps/>
          <w:szCs w:val="28"/>
        </w:rPr>
      </w:pPr>
      <w:bookmarkStart w:id="0" w:name="_Hlt159839706"/>
      <w:bookmarkEnd w:id="0"/>
      <w:r>
        <w:rPr>
          <w:rFonts w:ascii="Times New Roman" w:hAnsi="Times New Roman"/>
          <w:bCs/>
          <w:iCs/>
          <w:caps/>
          <w:szCs w:val="28"/>
        </w:rPr>
        <w:t>МинистерствО здравоохранения Украины</w:t>
      </w:r>
    </w:p>
    <w:p w:rsidR="00CC1CAF" w:rsidRDefault="00CC1CAF" w:rsidP="00CC1CAF">
      <w:pPr>
        <w:pStyle w:val="-f0"/>
        <w:spacing w:line="360" w:lineRule="auto"/>
        <w:ind w:firstLine="0"/>
        <w:jc w:val="center"/>
        <w:rPr>
          <w:rFonts w:ascii="Times New Roman" w:hAnsi="Times New Roman"/>
          <w:bCs/>
          <w:iCs/>
          <w:caps/>
          <w:szCs w:val="28"/>
        </w:rPr>
      </w:pPr>
      <w:r>
        <w:rPr>
          <w:rFonts w:ascii="Times New Roman" w:hAnsi="Times New Roman"/>
          <w:bCs/>
          <w:iCs/>
          <w:caps/>
          <w:szCs w:val="28"/>
        </w:rPr>
        <w:t xml:space="preserve">Донецкий НАЦИОНАЛЬНЫЙ медицинский университет </w:t>
      </w:r>
      <w:r>
        <w:rPr>
          <w:rFonts w:ascii="Times New Roman" w:hAnsi="Times New Roman"/>
          <w:bCs/>
          <w:iCs/>
          <w:szCs w:val="28"/>
        </w:rPr>
        <w:t>им</w:t>
      </w:r>
      <w:r>
        <w:rPr>
          <w:rFonts w:ascii="Times New Roman" w:hAnsi="Times New Roman"/>
          <w:bCs/>
          <w:iCs/>
          <w:caps/>
          <w:szCs w:val="28"/>
        </w:rPr>
        <w:t>. М.Горького</w:t>
      </w:r>
    </w:p>
    <w:p w:rsidR="00CC1CAF" w:rsidRDefault="00CC1CAF" w:rsidP="00CC1CAF">
      <w:pPr>
        <w:pStyle w:val="-f0"/>
        <w:spacing w:line="360" w:lineRule="auto"/>
        <w:ind w:firstLine="0"/>
        <w:jc w:val="center"/>
        <w:rPr>
          <w:rFonts w:ascii="Times New Roman" w:hAnsi="Times New Roman"/>
          <w:bCs/>
          <w:iCs/>
          <w:caps/>
          <w:szCs w:val="28"/>
        </w:rPr>
      </w:pPr>
    </w:p>
    <w:p w:rsidR="00CC1CAF" w:rsidRDefault="00CC1CAF" w:rsidP="00CC1CAF">
      <w:pPr>
        <w:pStyle w:val="-f0"/>
        <w:jc w:val="right"/>
        <w:rPr>
          <w:rFonts w:ascii="Times New Roman" w:hAnsi="Times New Roman"/>
          <w:b w:val="0"/>
          <w:bCs/>
          <w:szCs w:val="28"/>
        </w:rPr>
      </w:pPr>
    </w:p>
    <w:p w:rsidR="00CC1CAF" w:rsidRDefault="00CC1CAF" w:rsidP="00CC1CAF">
      <w:pPr>
        <w:pStyle w:val="-f0"/>
        <w:jc w:val="right"/>
        <w:rPr>
          <w:rFonts w:ascii="Times New Roman" w:hAnsi="Times New Roman"/>
          <w:b w:val="0"/>
          <w:bCs/>
          <w:i/>
          <w:szCs w:val="28"/>
        </w:rPr>
      </w:pPr>
      <w:r>
        <w:rPr>
          <w:rFonts w:ascii="Times New Roman" w:hAnsi="Times New Roman"/>
          <w:b w:val="0"/>
          <w:bCs/>
          <w:i/>
          <w:szCs w:val="28"/>
        </w:rPr>
        <w:t>На правах рукописи</w:t>
      </w:r>
    </w:p>
    <w:p w:rsidR="00CC1CAF" w:rsidRDefault="00CC1CAF" w:rsidP="00CC1CAF">
      <w:pPr>
        <w:pStyle w:val="-f0"/>
        <w:rPr>
          <w:rFonts w:ascii="Times New Roman" w:hAnsi="Times New Roman"/>
          <w:b w:val="0"/>
          <w:bCs/>
          <w:szCs w:val="28"/>
        </w:rPr>
      </w:pPr>
    </w:p>
    <w:p w:rsidR="00CC1CAF" w:rsidRDefault="00CC1CAF" w:rsidP="00CC1CAF">
      <w:pPr>
        <w:pStyle w:val="-f0"/>
        <w:rPr>
          <w:rFonts w:ascii="Times New Roman" w:hAnsi="Times New Roman"/>
          <w:b w:val="0"/>
          <w:bCs/>
          <w:szCs w:val="28"/>
        </w:rPr>
      </w:pPr>
    </w:p>
    <w:p w:rsidR="00CC1CAF" w:rsidRDefault="00CC1CAF" w:rsidP="00CC1CAF">
      <w:pPr>
        <w:pStyle w:val="-f0"/>
        <w:jc w:val="center"/>
        <w:rPr>
          <w:rFonts w:ascii="Times New Roman" w:hAnsi="Times New Roman"/>
          <w:bCs/>
          <w:caps/>
          <w:szCs w:val="28"/>
        </w:rPr>
      </w:pPr>
      <w:r>
        <w:rPr>
          <w:rFonts w:ascii="Times New Roman" w:hAnsi="Times New Roman"/>
          <w:bCs/>
          <w:caps/>
          <w:szCs w:val="28"/>
        </w:rPr>
        <w:t>ХЕДХИЛИ ВАЛИД</w:t>
      </w:r>
    </w:p>
    <w:p w:rsidR="00CC1CAF" w:rsidRDefault="00CC1CAF" w:rsidP="00CC1CAF"/>
    <w:p w:rsidR="00CC1CAF" w:rsidRDefault="00CC1CAF" w:rsidP="00CC1CAF">
      <w:pPr>
        <w:jc w:val="center"/>
        <w:rPr>
          <w:b/>
          <w:caps/>
          <w:lang w:val="uk-UA"/>
        </w:rPr>
      </w:pPr>
      <w:bookmarkStart w:id="1" w:name="_GoBack"/>
      <w:r>
        <w:rPr>
          <w:b/>
          <w:caps/>
        </w:rPr>
        <w:t>Кл</w:t>
      </w:r>
      <w:r>
        <w:rPr>
          <w:b/>
          <w:caps/>
          <w:lang w:val="uk-UA"/>
        </w:rPr>
        <w:t>И</w:t>
      </w:r>
      <w:r>
        <w:rPr>
          <w:b/>
          <w:caps/>
        </w:rPr>
        <w:t>н</w:t>
      </w:r>
      <w:r>
        <w:rPr>
          <w:b/>
          <w:caps/>
          <w:lang w:val="uk-UA"/>
        </w:rPr>
        <w:t>и</w:t>
      </w:r>
      <w:r>
        <w:rPr>
          <w:b/>
          <w:caps/>
        </w:rPr>
        <w:t>ко</w:t>
      </w:r>
      <w:r>
        <w:rPr>
          <w:b/>
          <w:caps/>
          <w:lang w:val="uk-UA"/>
        </w:rPr>
        <w:t xml:space="preserve">-морфологические сопоставления и прогноз у больных </w:t>
      </w:r>
    </w:p>
    <w:p w:rsidR="00CC1CAF" w:rsidRDefault="00CC1CAF" w:rsidP="00CC1CAF">
      <w:pPr>
        <w:jc w:val="center"/>
        <w:rPr>
          <w:b/>
          <w:caps/>
          <w:lang w:val="uk-UA"/>
        </w:rPr>
      </w:pPr>
      <w:r>
        <w:rPr>
          <w:b/>
          <w:caps/>
          <w:lang w:val="uk-UA"/>
        </w:rPr>
        <w:t>с различными морфологическими вариантами волчаночного гломерулонефрита</w:t>
      </w:r>
    </w:p>
    <w:p w:rsidR="00CC1CAF" w:rsidRDefault="00CC1CAF" w:rsidP="00CC1CAF">
      <w:pPr>
        <w:pStyle w:val="-f0"/>
        <w:jc w:val="center"/>
        <w:rPr>
          <w:rFonts w:ascii="Times New Roman" w:hAnsi="Times New Roman"/>
          <w:b w:val="0"/>
          <w:bCs/>
          <w:szCs w:val="28"/>
        </w:rPr>
      </w:pPr>
    </w:p>
    <w:bookmarkEnd w:id="1"/>
    <w:p w:rsidR="00CC1CAF" w:rsidRDefault="00CC1CAF" w:rsidP="00CC1CAF">
      <w:pPr>
        <w:pStyle w:val="-f0"/>
        <w:jc w:val="center"/>
        <w:rPr>
          <w:rFonts w:ascii="Times New Roman" w:hAnsi="Times New Roman"/>
          <w:bCs/>
          <w:smallCaps/>
          <w:szCs w:val="28"/>
        </w:rPr>
      </w:pPr>
      <w:r>
        <w:rPr>
          <w:rFonts w:ascii="Times New Roman" w:hAnsi="Times New Roman"/>
          <w:bCs/>
          <w:szCs w:val="28"/>
        </w:rPr>
        <w:t>14.01.37 – нефрология</w:t>
      </w:r>
    </w:p>
    <w:p w:rsidR="00CC1CAF" w:rsidRDefault="00CC1CAF" w:rsidP="00CC1CAF">
      <w:pPr>
        <w:pStyle w:val="-f0"/>
        <w:spacing w:line="240" w:lineRule="auto"/>
        <w:ind w:firstLine="0"/>
        <w:jc w:val="center"/>
        <w:rPr>
          <w:rFonts w:ascii="Times New Roman" w:hAnsi="Times New Roman"/>
          <w:b w:val="0"/>
          <w:bCs/>
          <w:szCs w:val="28"/>
        </w:rPr>
      </w:pPr>
    </w:p>
    <w:p w:rsidR="00CC1CAF" w:rsidRDefault="00CC1CAF" w:rsidP="00CC1CAF">
      <w:pPr>
        <w:pStyle w:val="-f0"/>
        <w:spacing w:line="240" w:lineRule="auto"/>
        <w:ind w:firstLine="0"/>
        <w:jc w:val="center"/>
        <w:rPr>
          <w:rFonts w:ascii="Times New Roman" w:hAnsi="Times New Roman"/>
          <w:b w:val="0"/>
          <w:bCs/>
          <w:szCs w:val="28"/>
        </w:rPr>
      </w:pPr>
      <w:r>
        <w:rPr>
          <w:rFonts w:ascii="Times New Roman" w:hAnsi="Times New Roman"/>
          <w:b w:val="0"/>
          <w:bCs/>
          <w:szCs w:val="28"/>
        </w:rPr>
        <w:t>Диссертация на соискание научной степени</w:t>
      </w:r>
    </w:p>
    <w:p w:rsidR="00CC1CAF" w:rsidRDefault="00CC1CAF" w:rsidP="00CC1CAF">
      <w:pPr>
        <w:pStyle w:val="-f0"/>
        <w:spacing w:line="240" w:lineRule="auto"/>
        <w:ind w:firstLine="0"/>
        <w:jc w:val="center"/>
        <w:rPr>
          <w:rFonts w:ascii="Times New Roman" w:hAnsi="Times New Roman"/>
          <w:b w:val="0"/>
          <w:bCs/>
          <w:szCs w:val="28"/>
        </w:rPr>
      </w:pPr>
      <w:r>
        <w:rPr>
          <w:rFonts w:ascii="Times New Roman" w:hAnsi="Times New Roman"/>
          <w:b w:val="0"/>
          <w:bCs/>
          <w:szCs w:val="28"/>
        </w:rPr>
        <w:t>кандидата медицинских наук</w:t>
      </w:r>
    </w:p>
    <w:p w:rsidR="00CC1CAF" w:rsidRDefault="00CC1CAF" w:rsidP="00CC1CAF">
      <w:pPr>
        <w:pStyle w:val="-f0"/>
        <w:spacing w:line="240" w:lineRule="auto"/>
        <w:ind w:firstLine="0"/>
        <w:rPr>
          <w:rFonts w:ascii="Times New Roman" w:hAnsi="Times New Roman"/>
          <w:b w:val="0"/>
          <w:bCs/>
          <w:szCs w:val="28"/>
        </w:rPr>
      </w:pPr>
    </w:p>
    <w:p w:rsidR="00CC1CAF" w:rsidRDefault="00CC1CAF" w:rsidP="00CC1CAF">
      <w:pPr>
        <w:pStyle w:val="-f0"/>
        <w:spacing w:line="240" w:lineRule="auto"/>
        <w:ind w:left="1985"/>
        <w:jc w:val="right"/>
        <w:rPr>
          <w:rFonts w:ascii="Times New Roman" w:hAnsi="Times New Roman"/>
          <w:b w:val="0"/>
          <w:bCs/>
          <w:szCs w:val="28"/>
        </w:rPr>
      </w:pPr>
    </w:p>
    <w:p w:rsidR="00CC1CAF" w:rsidRDefault="00CC1CAF" w:rsidP="00CC1CAF">
      <w:pPr>
        <w:pStyle w:val="-f0"/>
        <w:spacing w:line="240" w:lineRule="auto"/>
        <w:ind w:left="1985"/>
        <w:jc w:val="right"/>
        <w:rPr>
          <w:rFonts w:ascii="Times New Roman" w:hAnsi="Times New Roman"/>
          <w:b w:val="0"/>
          <w:bCs/>
          <w:szCs w:val="28"/>
        </w:rPr>
      </w:pPr>
    </w:p>
    <w:p w:rsidR="00CC1CAF" w:rsidRDefault="00CC1CAF" w:rsidP="00CC1CAF">
      <w:pPr>
        <w:pStyle w:val="-f0"/>
        <w:spacing w:line="360" w:lineRule="auto"/>
        <w:ind w:left="1985"/>
        <w:rPr>
          <w:rFonts w:ascii="Times New Roman" w:hAnsi="Times New Roman"/>
          <w:b w:val="0"/>
          <w:bCs/>
          <w:szCs w:val="28"/>
        </w:rPr>
      </w:pPr>
      <w:r>
        <w:rPr>
          <w:rFonts w:ascii="Times New Roman" w:hAnsi="Times New Roman"/>
          <w:b w:val="0"/>
          <w:bCs/>
          <w:szCs w:val="28"/>
        </w:rPr>
        <w:tab/>
      </w:r>
      <w:r>
        <w:rPr>
          <w:rFonts w:ascii="Times New Roman" w:hAnsi="Times New Roman"/>
          <w:b w:val="0"/>
          <w:bCs/>
          <w:szCs w:val="28"/>
        </w:rPr>
        <w:tab/>
        <w:t>Научный руководитель:</w:t>
      </w:r>
    </w:p>
    <w:p w:rsidR="00CC1CAF" w:rsidRDefault="00CC1CAF" w:rsidP="00CC1CAF">
      <w:r>
        <w:tab/>
      </w:r>
      <w:r>
        <w:tab/>
      </w:r>
      <w:r>
        <w:tab/>
      </w:r>
      <w:r>
        <w:tab/>
        <w:t>Дядык Александр Иванович, ЗДНТ Украины</w:t>
      </w:r>
    </w:p>
    <w:p w:rsidR="00CC1CAF" w:rsidRDefault="00CC1CAF" w:rsidP="00CC1CAF">
      <w:r>
        <w:tab/>
      </w:r>
      <w:r>
        <w:tab/>
      </w:r>
      <w:r>
        <w:tab/>
      </w:r>
      <w:r>
        <w:tab/>
        <w:t>доктор медицинских наук, профессор</w:t>
      </w:r>
    </w:p>
    <w:p w:rsidR="00CC1CAF" w:rsidRDefault="00CC1CAF" w:rsidP="00CC1CAF">
      <w:pPr>
        <w:pStyle w:val="-f0"/>
        <w:spacing w:line="432" w:lineRule="auto"/>
        <w:jc w:val="center"/>
        <w:rPr>
          <w:rFonts w:ascii="Times New Roman" w:hAnsi="Times New Roman"/>
          <w:szCs w:val="28"/>
        </w:rPr>
      </w:pPr>
    </w:p>
    <w:p w:rsidR="00CC1CAF" w:rsidRDefault="00CC1CAF" w:rsidP="00CC1CAF">
      <w:pPr>
        <w:pStyle w:val="-f0"/>
        <w:spacing w:line="432" w:lineRule="auto"/>
        <w:jc w:val="center"/>
        <w:rPr>
          <w:rFonts w:ascii="Times New Roman" w:hAnsi="Times New Roman"/>
          <w:szCs w:val="28"/>
        </w:rPr>
      </w:pPr>
    </w:p>
    <w:p w:rsidR="00CC1CAF" w:rsidRDefault="00CC1CAF" w:rsidP="00CC1CAF">
      <w:pPr>
        <w:jc w:val="center"/>
        <w:rPr>
          <w:szCs w:val="28"/>
          <w:lang w:val="en-US"/>
        </w:rPr>
      </w:pPr>
      <w:r>
        <w:rPr>
          <w:szCs w:val="28"/>
        </w:rPr>
        <w:lastRenderedPageBreak/>
        <w:t>Донецк – 2008</w:t>
      </w:r>
    </w:p>
    <w:p w:rsidR="00CC1CAF" w:rsidRDefault="00CC1CAF" w:rsidP="00CC1CAF">
      <w:pPr>
        <w:jc w:val="center"/>
        <w:rPr>
          <w:szCs w:val="28"/>
          <w:lang w:val="en-US"/>
        </w:rPr>
      </w:pPr>
    </w:p>
    <w:p w:rsidR="00CC1CAF" w:rsidRDefault="00CC1CAF" w:rsidP="00CC1CAF">
      <w:pPr>
        <w:ind w:left="720"/>
        <w:jc w:val="center"/>
        <w:rPr>
          <w:b/>
          <w:szCs w:val="28"/>
        </w:rPr>
      </w:pPr>
      <w:r>
        <w:rPr>
          <w:b/>
          <w:szCs w:val="28"/>
        </w:rPr>
        <w:t>ОГЛАВЛЕНИЕ</w:t>
      </w:r>
    </w:p>
    <w:p w:rsidR="00CC1CAF" w:rsidRDefault="00CC1CAF" w:rsidP="00CC1CAF">
      <w:pPr>
        <w:ind w:left="720"/>
        <w:jc w:val="center"/>
        <w:rPr>
          <w:b/>
          <w:szCs w:val="28"/>
        </w:rPr>
      </w:pPr>
    </w:p>
    <w:tbl>
      <w:tblPr>
        <w:tblW w:w="9360" w:type="dxa"/>
        <w:tblInd w:w="108" w:type="dxa"/>
        <w:tblLayout w:type="fixed"/>
        <w:tblLook w:val="0000" w:firstRow="0" w:lastRow="0" w:firstColumn="0" w:lastColumn="0" w:noHBand="0" w:noVBand="0"/>
      </w:tblPr>
      <w:tblGrid>
        <w:gridCol w:w="8280"/>
        <w:gridCol w:w="1080"/>
      </w:tblGrid>
      <w:tr w:rsidR="00CC1CAF" w:rsidTr="003B6E3D">
        <w:tblPrEx>
          <w:tblCellMar>
            <w:top w:w="0" w:type="dxa"/>
            <w:bottom w:w="0" w:type="dxa"/>
          </w:tblCellMar>
        </w:tblPrEx>
        <w:tc>
          <w:tcPr>
            <w:tcW w:w="8280" w:type="dxa"/>
            <w:tcBorders>
              <w:top w:val="nil"/>
              <w:left w:val="nil"/>
              <w:bottom w:val="nil"/>
              <w:right w:val="nil"/>
            </w:tcBorders>
          </w:tcPr>
          <w:p w:rsidR="00CC1CAF" w:rsidRDefault="00CC1CAF" w:rsidP="003B6E3D">
            <w:pPr>
              <w:ind w:left="720" w:hanging="720"/>
              <w:jc w:val="center"/>
              <w:rPr>
                <w:szCs w:val="28"/>
              </w:rPr>
            </w:pPr>
          </w:p>
        </w:tc>
        <w:tc>
          <w:tcPr>
            <w:tcW w:w="1080" w:type="dxa"/>
            <w:tcBorders>
              <w:top w:val="nil"/>
              <w:left w:val="nil"/>
              <w:bottom w:val="nil"/>
              <w:right w:val="nil"/>
            </w:tcBorders>
          </w:tcPr>
          <w:p w:rsidR="00CC1CAF" w:rsidRDefault="00CC1CAF" w:rsidP="003B6E3D">
            <w:pPr>
              <w:jc w:val="center"/>
              <w:rPr>
                <w:szCs w:val="28"/>
              </w:rPr>
            </w:pPr>
            <w:r>
              <w:rPr>
                <w:szCs w:val="28"/>
              </w:rPr>
              <w:t>стр.</w:t>
            </w:r>
          </w:p>
        </w:tc>
      </w:tr>
      <w:tr w:rsidR="00CC1CAF" w:rsidTr="003B6E3D">
        <w:tblPrEx>
          <w:tblCellMar>
            <w:top w:w="0" w:type="dxa"/>
            <w:bottom w:w="0" w:type="dxa"/>
          </w:tblCellMar>
        </w:tblPrEx>
        <w:tc>
          <w:tcPr>
            <w:tcW w:w="8280" w:type="dxa"/>
            <w:tcBorders>
              <w:top w:val="nil"/>
              <w:left w:val="nil"/>
              <w:bottom w:val="nil"/>
              <w:right w:val="nil"/>
            </w:tcBorders>
          </w:tcPr>
          <w:p w:rsidR="00CC1CAF" w:rsidRDefault="00CC1CAF" w:rsidP="003B6E3D">
            <w:pPr>
              <w:rPr>
                <w:caps/>
                <w:szCs w:val="28"/>
                <w:lang w:val="uk-UA"/>
              </w:rPr>
            </w:pPr>
            <w:r>
              <w:rPr>
                <w:caps/>
                <w:szCs w:val="28"/>
              </w:rPr>
              <w:t>Список используемых сокращений …………………</w:t>
            </w:r>
            <w:r>
              <w:rPr>
                <w:caps/>
                <w:szCs w:val="28"/>
                <w:lang w:val="uk-UA"/>
              </w:rPr>
              <w:t>….</w:t>
            </w:r>
          </w:p>
        </w:tc>
        <w:tc>
          <w:tcPr>
            <w:tcW w:w="1080" w:type="dxa"/>
            <w:tcBorders>
              <w:top w:val="nil"/>
              <w:left w:val="nil"/>
              <w:bottom w:val="nil"/>
              <w:right w:val="nil"/>
            </w:tcBorders>
          </w:tcPr>
          <w:p w:rsidR="00CC1CAF" w:rsidRDefault="00CC1CAF" w:rsidP="003B6E3D">
            <w:pPr>
              <w:jc w:val="center"/>
              <w:rPr>
                <w:szCs w:val="28"/>
              </w:rPr>
            </w:pPr>
            <w:r>
              <w:rPr>
                <w:szCs w:val="28"/>
              </w:rPr>
              <w:t>3</w:t>
            </w:r>
          </w:p>
        </w:tc>
      </w:tr>
      <w:tr w:rsidR="00CC1CAF" w:rsidTr="003B6E3D">
        <w:tblPrEx>
          <w:tblCellMar>
            <w:top w:w="0" w:type="dxa"/>
            <w:bottom w:w="0" w:type="dxa"/>
          </w:tblCellMar>
        </w:tblPrEx>
        <w:tc>
          <w:tcPr>
            <w:tcW w:w="8280" w:type="dxa"/>
            <w:tcBorders>
              <w:top w:val="nil"/>
              <w:left w:val="nil"/>
              <w:bottom w:val="nil"/>
              <w:right w:val="nil"/>
            </w:tcBorders>
          </w:tcPr>
          <w:p w:rsidR="00CC1CAF" w:rsidRDefault="00CC1CAF" w:rsidP="003B6E3D">
            <w:pPr>
              <w:rPr>
                <w:caps/>
                <w:szCs w:val="28"/>
                <w:lang w:val="uk-UA"/>
              </w:rPr>
            </w:pPr>
            <w:r>
              <w:rPr>
                <w:caps/>
                <w:szCs w:val="28"/>
              </w:rPr>
              <w:t>Введение….………………………………………………………</w:t>
            </w:r>
            <w:r>
              <w:rPr>
                <w:caps/>
                <w:szCs w:val="28"/>
                <w:lang w:val="uk-UA"/>
              </w:rPr>
              <w:t>….</w:t>
            </w:r>
          </w:p>
        </w:tc>
        <w:tc>
          <w:tcPr>
            <w:tcW w:w="1080" w:type="dxa"/>
            <w:tcBorders>
              <w:top w:val="nil"/>
              <w:left w:val="nil"/>
              <w:bottom w:val="nil"/>
              <w:right w:val="nil"/>
            </w:tcBorders>
          </w:tcPr>
          <w:p w:rsidR="00CC1CAF" w:rsidRDefault="00CC1CAF" w:rsidP="003B6E3D">
            <w:pPr>
              <w:jc w:val="center"/>
              <w:rPr>
                <w:szCs w:val="28"/>
              </w:rPr>
            </w:pPr>
            <w:r>
              <w:rPr>
                <w:szCs w:val="28"/>
              </w:rPr>
              <w:t>4</w:t>
            </w:r>
          </w:p>
        </w:tc>
      </w:tr>
      <w:tr w:rsidR="00CC1CAF" w:rsidTr="003B6E3D">
        <w:tblPrEx>
          <w:tblCellMar>
            <w:top w:w="0" w:type="dxa"/>
            <w:bottom w:w="0" w:type="dxa"/>
          </w:tblCellMar>
        </w:tblPrEx>
        <w:tc>
          <w:tcPr>
            <w:tcW w:w="8280" w:type="dxa"/>
            <w:tcBorders>
              <w:top w:val="nil"/>
              <w:left w:val="nil"/>
              <w:bottom w:val="nil"/>
              <w:right w:val="nil"/>
            </w:tcBorders>
          </w:tcPr>
          <w:p w:rsidR="00CC1CAF" w:rsidRDefault="00CC1CAF" w:rsidP="003B6E3D">
            <w:pPr>
              <w:rPr>
                <w:szCs w:val="28"/>
                <w:lang w:val="uk-UA"/>
              </w:rPr>
            </w:pPr>
            <w:r>
              <w:rPr>
                <w:caps/>
                <w:szCs w:val="28"/>
              </w:rPr>
              <w:t>Раздел</w:t>
            </w:r>
            <w:r>
              <w:rPr>
                <w:szCs w:val="28"/>
              </w:rPr>
              <w:t xml:space="preserve"> 1. Клинико-морфологическая характеристика, особенности течения и прогноз </w:t>
            </w:r>
            <w:r>
              <w:rPr>
                <w:szCs w:val="28"/>
                <w:lang w:val="uk-UA"/>
              </w:rPr>
              <w:t>ВГН</w:t>
            </w:r>
            <w:r>
              <w:rPr>
                <w:szCs w:val="28"/>
              </w:rPr>
              <w:t xml:space="preserve"> (обзор литературы)……………….………………………………</w:t>
            </w:r>
            <w:r>
              <w:rPr>
                <w:szCs w:val="28"/>
                <w:lang w:val="uk-UA"/>
              </w:rPr>
              <w:t>……..</w:t>
            </w:r>
            <w:r>
              <w:rPr>
                <w:szCs w:val="28"/>
              </w:rPr>
              <w:t>……</w:t>
            </w:r>
            <w:r>
              <w:rPr>
                <w:szCs w:val="28"/>
                <w:lang w:val="uk-UA"/>
              </w:rPr>
              <w:t>.</w:t>
            </w:r>
          </w:p>
        </w:tc>
        <w:tc>
          <w:tcPr>
            <w:tcW w:w="1080" w:type="dxa"/>
            <w:tcBorders>
              <w:top w:val="nil"/>
              <w:left w:val="nil"/>
              <w:bottom w:val="nil"/>
              <w:right w:val="nil"/>
            </w:tcBorders>
            <w:vAlign w:val="bottom"/>
          </w:tcPr>
          <w:p w:rsidR="00CC1CAF" w:rsidRDefault="00CC1CAF" w:rsidP="003B6E3D">
            <w:pPr>
              <w:jc w:val="center"/>
              <w:rPr>
                <w:szCs w:val="28"/>
              </w:rPr>
            </w:pPr>
          </w:p>
          <w:p w:rsidR="00CC1CAF" w:rsidRDefault="00CC1CAF" w:rsidP="003B6E3D">
            <w:pPr>
              <w:jc w:val="center"/>
              <w:rPr>
                <w:szCs w:val="28"/>
              </w:rPr>
            </w:pPr>
          </w:p>
          <w:p w:rsidR="00CC1CAF" w:rsidRDefault="00CC1CAF" w:rsidP="003B6E3D">
            <w:pPr>
              <w:jc w:val="center"/>
              <w:rPr>
                <w:szCs w:val="28"/>
              </w:rPr>
            </w:pPr>
            <w:r>
              <w:rPr>
                <w:szCs w:val="28"/>
              </w:rPr>
              <w:t>10</w:t>
            </w:r>
          </w:p>
        </w:tc>
      </w:tr>
      <w:tr w:rsidR="00CC1CAF" w:rsidTr="003B6E3D">
        <w:tblPrEx>
          <w:tblCellMar>
            <w:top w:w="0" w:type="dxa"/>
            <w:bottom w:w="0" w:type="dxa"/>
          </w:tblCellMar>
        </w:tblPrEx>
        <w:tc>
          <w:tcPr>
            <w:tcW w:w="8280" w:type="dxa"/>
            <w:tcBorders>
              <w:top w:val="nil"/>
              <w:left w:val="nil"/>
              <w:bottom w:val="nil"/>
              <w:right w:val="nil"/>
            </w:tcBorders>
          </w:tcPr>
          <w:p w:rsidR="00CC1CAF" w:rsidRDefault="00CC1CAF" w:rsidP="003B6E3D">
            <w:pPr>
              <w:rPr>
                <w:szCs w:val="28"/>
                <w:lang w:val="uk-UA"/>
              </w:rPr>
            </w:pPr>
            <w:r>
              <w:rPr>
                <w:caps/>
                <w:szCs w:val="28"/>
              </w:rPr>
              <w:t>Раздел</w:t>
            </w:r>
            <w:r>
              <w:rPr>
                <w:szCs w:val="28"/>
              </w:rPr>
              <w:t xml:space="preserve"> 2. Материал и методы  исследования……………………</w:t>
            </w:r>
            <w:r>
              <w:rPr>
                <w:szCs w:val="28"/>
                <w:lang w:val="uk-UA"/>
              </w:rPr>
              <w:t>…</w:t>
            </w:r>
          </w:p>
          <w:p w:rsidR="00CC1CAF" w:rsidRDefault="00CC1CAF" w:rsidP="003B6E3D">
            <w:pPr>
              <w:rPr>
                <w:szCs w:val="28"/>
                <w:lang w:val="uk-UA"/>
              </w:rPr>
            </w:pPr>
            <w:r>
              <w:rPr>
                <w:szCs w:val="28"/>
              </w:rPr>
              <w:t xml:space="preserve">            2.1. Методы исследования ………………………..………</w:t>
            </w:r>
            <w:r>
              <w:rPr>
                <w:szCs w:val="28"/>
                <w:lang w:val="uk-UA"/>
              </w:rPr>
              <w:t>…..</w:t>
            </w:r>
          </w:p>
          <w:p w:rsidR="00CC1CAF" w:rsidRDefault="00CC1CAF" w:rsidP="003B6E3D">
            <w:pPr>
              <w:rPr>
                <w:szCs w:val="28"/>
                <w:lang w:val="uk-UA"/>
              </w:rPr>
            </w:pPr>
            <w:r>
              <w:rPr>
                <w:szCs w:val="28"/>
              </w:rPr>
              <w:t xml:space="preserve">            2.2 Характеристика обследованных больных………..……</w:t>
            </w:r>
            <w:r>
              <w:rPr>
                <w:szCs w:val="28"/>
                <w:lang w:val="uk-UA"/>
              </w:rPr>
              <w:t>…</w:t>
            </w:r>
          </w:p>
        </w:tc>
        <w:tc>
          <w:tcPr>
            <w:tcW w:w="1080" w:type="dxa"/>
            <w:tcBorders>
              <w:top w:val="nil"/>
              <w:left w:val="nil"/>
              <w:bottom w:val="nil"/>
              <w:right w:val="nil"/>
            </w:tcBorders>
            <w:vAlign w:val="bottom"/>
          </w:tcPr>
          <w:p w:rsidR="00CC1CAF" w:rsidRDefault="00CC1CAF" w:rsidP="003B6E3D">
            <w:pPr>
              <w:jc w:val="center"/>
              <w:rPr>
                <w:szCs w:val="28"/>
                <w:lang w:val="uk-UA"/>
              </w:rPr>
            </w:pPr>
            <w:r>
              <w:rPr>
                <w:szCs w:val="28"/>
              </w:rPr>
              <w:t>3</w:t>
            </w:r>
            <w:r>
              <w:rPr>
                <w:szCs w:val="28"/>
                <w:lang w:val="uk-UA"/>
              </w:rPr>
              <w:t>8</w:t>
            </w:r>
          </w:p>
          <w:p w:rsidR="00CC1CAF" w:rsidRDefault="00CC1CAF" w:rsidP="003B6E3D">
            <w:pPr>
              <w:jc w:val="center"/>
              <w:rPr>
                <w:szCs w:val="28"/>
                <w:lang w:val="uk-UA"/>
              </w:rPr>
            </w:pPr>
            <w:r>
              <w:rPr>
                <w:szCs w:val="28"/>
              </w:rPr>
              <w:t>3</w:t>
            </w:r>
            <w:r>
              <w:rPr>
                <w:szCs w:val="28"/>
                <w:lang w:val="uk-UA"/>
              </w:rPr>
              <w:t>9</w:t>
            </w:r>
          </w:p>
          <w:p w:rsidR="00CC1CAF" w:rsidRDefault="00CC1CAF" w:rsidP="003B6E3D">
            <w:pPr>
              <w:jc w:val="center"/>
              <w:rPr>
                <w:szCs w:val="28"/>
              </w:rPr>
            </w:pPr>
            <w:r>
              <w:rPr>
                <w:szCs w:val="28"/>
              </w:rPr>
              <w:t>44</w:t>
            </w:r>
          </w:p>
        </w:tc>
      </w:tr>
      <w:tr w:rsidR="00CC1CAF" w:rsidTr="003B6E3D">
        <w:tblPrEx>
          <w:tblCellMar>
            <w:top w:w="0" w:type="dxa"/>
            <w:bottom w:w="0" w:type="dxa"/>
          </w:tblCellMar>
        </w:tblPrEx>
        <w:tc>
          <w:tcPr>
            <w:tcW w:w="8280" w:type="dxa"/>
            <w:tcBorders>
              <w:top w:val="nil"/>
              <w:left w:val="nil"/>
              <w:bottom w:val="nil"/>
              <w:right w:val="nil"/>
            </w:tcBorders>
          </w:tcPr>
          <w:p w:rsidR="00CC1CAF" w:rsidRDefault="00CC1CAF" w:rsidP="003B6E3D">
            <w:pPr>
              <w:rPr>
                <w:szCs w:val="28"/>
                <w:lang w:val="uk-UA"/>
              </w:rPr>
            </w:pPr>
            <w:r>
              <w:rPr>
                <w:caps/>
                <w:szCs w:val="28"/>
              </w:rPr>
              <w:t xml:space="preserve">Раздел </w:t>
            </w:r>
            <w:r>
              <w:rPr>
                <w:szCs w:val="28"/>
              </w:rPr>
              <w:t xml:space="preserve">3. Клинико-морфологическая характеристика </w:t>
            </w:r>
            <w:r>
              <w:rPr>
                <w:szCs w:val="28"/>
                <w:lang w:val="uk-UA"/>
              </w:rPr>
              <w:t xml:space="preserve">различных морфологических </w:t>
            </w:r>
            <w:r>
              <w:rPr>
                <w:szCs w:val="28"/>
              </w:rPr>
              <w:t>классов ВГН….………………..……</w:t>
            </w:r>
            <w:r>
              <w:rPr>
                <w:szCs w:val="28"/>
                <w:lang w:val="uk-UA"/>
              </w:rPr>
              <w:t>……………..</w:t>
            </w:r>
          </w:p>
          <w:p w:rsidR="00CC1CAF" w:rsidRDefault="00CC1CAF" w:rsidP="003B6E3D">
            <w:pPr>
              <w:ind w:firstLine="708"/>
              <w:rPr>
                <w:szCs w:val="28"/>
                <w:lang w:val="uk-UA"/>
              </w:rPr>
            </w:pPr>
            <w:r>
              <w:rPr>
                <w:szCs w:val="28"/>
                <w:lang w:val="uk-UA"/>
              </w:rPr>
              <w:t xml:space="preserve">  </w:t>
            </w:r>
            <w:r>
              <w:rPr>
                <w:szCs w:val="28"/>
              </w:rPr>
              <w:t>3.1. Клинико-лабораторная характеристика больных ВГН</w:t>
            </w:r>
            <w:r>
              <w:rPr>
                <w:szCs w:val="28"/>
                <w:lang w:val="uk-UA"/>
              </w:rPr>
              <w:t>…</w:t>
            </w:r>
          </w:p>
          <w:p w:rsidR="00CC1CAF" w:rsidRDefault="00CC1CAF" w:rsidP="003B6E3D">
            <w:pPr>
              <w:rPr>
                <w:lang w:val="uk-UA"/>
              </w:rPr>
            </w:pPr>
            <w:r>
              <w:rPr>
                <w:lang w:val="uk-UA"/>
              </w:rPr>
              <w:t xml:space="preserve">            </w:t>
            </w:r>
            <w:r>
              <w:t>3.2. Морфологическая характеристика больных ВГН</w:t>
            </w:r>
            <w:r>
              <w:rPr>
                <w:lang w:val="uk-UA"/>
              </w:rPr>
              <w:t>…...…..</w:t>
            </w:r>
          </w:p>
          <w:p w:rsidR="00CC1CAF" w:rsidRDefault="00CC1CAF" w:rsidP="003B6E3D">
            <w:pPr>
              <w:rPr>
                <w:szCs w:val="28"/>
              </w:rPr>
            </w:pPr>
            <w:r>
              <w:rPr>
                <w:szCs w:val="28"/>
                <w:lang w:val="uk-UA"/>
              </w:rPr>
              <w:t xml:space="preserve">            </w:t>
            </w:r>
            <w:r>
              <w:rPr>
                <w:szCs w:val="28"/>
              </w:rPr>
              <w:t>3.3. Морфологические индексы активности и хронизации</w:t>
            </w:r>
            <w:r>
              <w:rPr>
                <w:szCs w:val="28"/>
                <w:lang w:val="uk-UA"/>
              </w:rPr>
              <w:t>……………………………………………………………..</w:t>
            </w:r>
          </w:p>
        </w:tc>
        <w:tc>
          <w:tcPr>
            <w:tcW w:w="1080" w:type="dxa"/>
            <w:tcBorders>
              <w:top w:val="nil"/>
              <w:left w:val="nil"/>
              <w:bottom w:val="nil"/>
              <w:right w:val="nil"/>
            </w:tcBorders>
            <w:vAlign w:val="bottom"/>
          </w:tcPr>
          <w:p w:rsidR="00CC1CAF" w:rsidRDefault="00CC1CAF" w:rsidP="003B6E3D">
            <w:pPr>
              <w:jc w:val="center"/>
            </w:pPr>
          </w:p>
          <w:p w:rsidR="00CC1CAF" w:rsidRDefault="00CC1CAF" w:rsidP="003B6E3D">
            <w:pPr>
              <w:jc w:val="center"/>
              <w:rPr>
                <w:lang w:val="uk-UA"/>
              </w:rPr>
            </w:pPr>
            <w:r>
              <w:t>50</w:t>
            </w:r>
          </w:p>
          <w:p w:rsidR="00CC1CAF" w:rsidRDefault="00CC1CAF" w:rsidP="003B6E3D">
            <w:pPr>
              <w:jc w:val="center"/>
              <w:rPr>
                <w:lang w:val="uk-UA"/>
              </w:rPr>
            </w:pPr>
            <w:r>
              <w:rPr>
                <w:lang w:val="uk-UA"/>
              </w:rPr>
              <w:t>51</w:t>
            </w:r>
          </w:p>
          <w:p w:rsidR="00CC1CAF" w:rsidRDefault="00CC1CAF" w:rsidP="003B6E3D">
            <w:pPr>
              <w:jc w:val="center"/>
              <w:rPr>
                <w:lang w:val="uk-UA"/>
              </w:rPr>
            </w:pPr>
            <w:r>
              <w:rPr>
                <w:lang w:val="uk-UA"/>
              </w:rPr>
              <w:t>53</w:t>
            </w:r>
          </w:p>
          <w:p w:rsidR="00CC1CAF" w:rsidRDefault="00CC1CAF" w:rsidP="003B6E3D">
            <w:pPr>
              <w:jc w:val="center"/>
              <w:rPr>
                <w:lang w:val="uk-UA"/>
              </w:rPr>
            </w:pPr>
          </w:p>
          <w:p w:rsidR="00CC1CAF" w:rsidRDefault="00CC1CAF" w:rsidP="003B6E3D">
            <w:pPr>
              <w:jc w:val="center"/>
              <w:rPr>
                <w:lang w:val="uk-UA"/>
              </w:rPr>
            </w:pPr>
            <w:r>
              <w:rPr>
                <w:lang w:val="uk-UA"/>
              </w:rPr>
              <w:t>64</w:t>
            </w:r>
          </w:p>
        </w:tc>
      </w:tr>
      <w:tr w:rsidR="00CC1CAF" w:rsidTr="003B6E3D">
        <w:tblPrEx>
          <w:tblCellMar>
            <w:top w:w="0" w:type="dxa"/>
            <w:bottom w:w="0" w:type="dxa"/>
          </w:tblCellMar>
        </w:tblPrEx>
        <w:tc>
          <w:tcPr>
            <w:tcW w:w="8280" w:type="dxa"/>
            <w:tcBorders>
              <w:top w:val="nil"/>
              <w:left w:val="nil"/>
              <w:bottom w:val="nil"/>
              <w:right w:val="nil"/>
            </w:tcBorders>
          </w:tcPr>
          <w:p w:rsidR="00CC1CAF" w:rsidRDefault="00CC1CAF" w:rsidP="003B6E3D">
            <w:pPr>
              <w:rPr>
                <w:szCs w:val="28"/>
              </w:rPr>
            </w:pPr>
            <w:r>
              <w:rPr>
                <w:caps/>
                <w:szCs w:val="28"/>
              </w:rPr>
              <w:t>Раздел</w:t>
            </w:r>
            <w:r>
              <w:rPr>
                <w:szCs w:val="28"/>
              </w:rPr>
              <w:t xml:space="preserve"> 4. Клинико-морфологические сопоставления при     различных морфологических классах ВГН……………….………</w:t>
            </w:r>
            <w:r>
              <w:rPr>
                <w:szCs w:val="28"/>
                <w:lang w:val="uk-UA"/>
              </w:rPr>
              <w:t>….</w:t>
            </w:r>
            <w:r>
              <w:rPr>
                <w:szCs w:val="28"/>
              </w:rPr>
              <w:t xml:space="preserve"> </w:t>
            </w:r>
          </w:p>
        </w:tc>
        <w:tc>
          <w:tcPr>
            <w:tcW w:w="1080" w:type="dxa"/>
            <w:tcBorders>
              <w:top w:val="nil"/>
              <w:left w:val="nil"/>
              <w:bottom w:val="nil"/>
              <w:right w:val="nil"/>
            </w:tcBorders>
            <w:vAlign w:val="bottom"/>
          </w:tcPr>
          <w:p w:rsidR="00CC1CAF" w:rsidRDefault="00CC1CAF" w:rsidP="003B6E3D">
            <w:pPr>
              <w:jc w:val="center"/>
            </w:pPr>
            <w:r>
              <w:t>6</w:t>
            </w:r>
            <w:r>
              <w:rPr>
                <w:lang w:val="uk-UA"/>
              </w:rPr>
              <w:t>8</w:t>
            </w:r>
          </w:p>
        </w:tc>
      </w:tr>
      <w:tr w:rsidR="00CC1CAF" w:rsidTr="003B6E3D">
        <w:tblPrEx>
          <w:tblCellMar>
            <w:top w:w="0" w:type="dxa"/>
            <w:bottom w:w="0" w:type="dxa"/>
          </w:tblCellMar>
        </w:tblPrEx>
        <w:tc>
          <w:tcPr>
            <w:tcW w:w="8280" w:type="dxa"/>
            <w:tcBorders>
              <w:top w:val="nil"/>
              <w:left w:val="nil"/>
              <w:bottom w:val="nil"/>
              <w:right w:val="nil"/>
            </w:tcBorders>
          </w:tcPr>
          <w:p w:rsidR="00CC1CAF" w:rsidRDefault="00CC1CAF" w:rsidP="003B6E3D">
            <w:pPr>
              <w:rPr>
                <w:szCs w:val="28"/>
              </w:rPr>
            </w:pPr>
            <w:r>
              <w:rPr>
                <w:caps/>
                <w:szCs w:val="28"/>
              </w:rPr>
              <w:t xml:space="preserve">Раздел </w:t>
            </w:r>
            <w:r>
              <w:rPr>
                <w:szCs w:val="28"/>
              </w:rPr>
              <w:t>5. Прогнозирование течения и исхода различных морфологических классов ВГН……………………………...…….</w:t>
            </w:r>
          </w:p>
        </w:tc>
        <w:tc>
          <w:tcPr>
            <w:tcW w:w="1080" w:type="dxa"/>
            <w:tcBorders>
              <w:top w:val="nil"/>
              <w:left w:val="nil"/>
              <w:bottom w:val="nil"/>
              <w:right w:val="nil"/>
            </w:tcBorders>
            <w:vAlign w:val="bottom"/>
          </w:tcPr>
          <w:p w:rsidR="00CC1CAF" w:rsidRDefault="00CC1CAF" w:rsidP="003B6E3D">
            <w:pPr>
              <w:jc w:val="center"/>
              <w:rPr>
                <w:szCs w:val="28"/>
              </w:rPr>
            </w:pPr>
            <w:r>
              <w:rPr>
                <w:szCs w:val="28"/>
              </w:rPr>
              <w:t>86</w:t>
            </w:r>
          </w:p>
        </w:tc>
      </w:tr>
      <w:tr w:rsidR="00CC1CAF" w:rsidTr="003B6E3D">
        <w:tblPrEx>
          <w:tblCellMar>
            <w:top w:w="0" w:type="dxa"/>
            <w:bottom w:w="0" w:type="dxa"/>
          </w:tblCellMar>
        </w:tblPrEx>
        <w:tc>
          <w:tcPr>
            <w:tcW w:w="8280" w:type="dxa"/>
            <w:tcBorders>
              <w:top w:val="nil"/>
              <w:left w:val="nil"/>
              <w:bottom w:val="nil"/>
              <w:right w:val="nil"/>
            </w:tcBorders>
          </w:tcPr>
          <w:p w:rsidR="00CC1CAF" w:rsidRDefault="00CC1CAF" w:rsidP="003B6E3D">
            <w:pPr>
              <w:rPr>
                <w:caps/>
                <w:szCs w:val="28"/>
              </w:rPr>
            </w:pPr>
            <w:r>
              <w:rPr>
                <w:caps/>
                <w:szCs w:val="28"/>
              </w:rPr>
              <w:t>Анализ и обобщение результатов Исследования...</w:t>
            </w:r>
          </w:p>
        </w:tc>
        <w:tc>
          <w:tcPr>
            <w:tcW w:w="1080" w:type="dxa"/>
            <w:tcBorders>
              <w:top w:val="nil"/>
              <w:left w:val="nil"/>
              <w:bottom w:val="nil"/>
              <w:right w:val="nil"/>
            </w:tcBorders>
            <w:vAlign w:val="bottom"/>
          </w:tcPr>
          <w:p w:rsidR="00CC1CAF" w:rsidRDefault="00CC1CAF" w:rsidP="003B6E3D">
            <w:pPr>
              <w:jc w:val="center"/>
              <w:rPr>
                <w:szCs w:val="28"/>
              </w:rPr>
            </w:pPr>
            <w:r>
              <w:rPr>
                <w:szCs w:val="28"/>
              </w:rPr>
              <w:t>105</w:t>
            </w:r>
          </w:p>
        </w:tc>
      </w:tr>
      <w:tr w:rsidR="00CC1CAF" w:rsidTr="003B6E3D">
        <w:tblPrEx>
          <w:tblCellMar>
            <w:top w:w="0" w:type="dxa"/>
            <w:bottom w:w="0" w:type="dxa"/>
          </w:tblCellMar>
        </w:tblPrEx>
        <w:tc>
          <w:tcPr>
            <w:tcW w:w="8280" w:type="dxa"/>
            <w:tcBorders>
              <w:top w:val="nil"/>
              <w:left w:val="nil"/>
              <w:bottom w:val="nil"/>
              <w:right w:val="nil"/>
            </w:tcBorders>
          </w:tcPr>
          <w:p w:rsidR="00CC1CAF" w:rsidRDefault="00CC1CAF" w:rsidP="003B6E3D">
            <w:pPr>
              <w:rPr>
                <w:caps/>
                <w:szCs w:val="28"/>
              </w:rPr>
            </w:pPr>
            <w:r>
              <w:rPr>
                <w:caps/>
                <w:szCs w:val="28"/>
              </w:rPr>
              <w:t>Выводы……………………………………..…………………….</w:t>
            </w:r>
          </w:p>
        </w:tc>
        <w:tc>
          <w:tcPr>
            <w:tcW w:w="1080" w:type="dxa"/>
            <w:tcBorders>
              <w:top w:val="nil"/>
              <w:left w:val="nil"/>
              <w:bottom w:val="nil"/>
              <w:right w:val="nil"/>
            </w:tcBorders>
            <w:vAlign w:val="bottom"/>
          </w:tcPr>
          <w:p w:rsidR="00CC1CAF" w:rsidRDefault="00CC1CAF" w:rsidP="003B6E3D">
            <w:pPr>
              <w:jc w:val="center"/>
              <w:rPr>
                <w:szCs w:val="28"/>
              </w:rPr>
            </w:pPr>
            <w:r>
              <w:rPr>
                <w:szCs w:val="28"/>
              </w:rPr>
              <w:t>121</w:t>
            </w:r>
          </w:p>
        </w:tc>
      </w:tr>
      <w:tr w:rsidR="00CC1CAF" w:rsidTr="003B6E3D">
        <w:tblPrEx>
          <w:tblCellMar>
            <w:top w:w="0" w:type="dxa"/>
            <w:bottom w:w="0" w:type="dxa"/>
          </w:tblCellMar>
        </w:tblPrEx>
        <w:tc>
          <w:tcPr>
            <w:tcW w:w="8280" w:type="dxa"/>
            <w:tcBorders>
              <w:top w:val="nil"/>
              <w:left w:val="nil"/>
              <w:bottom w:val="nil"/>
              <w:right w:val="nil"/>
            </w:tcBorders>
          </w:tcPr>
          <w:p w:rsidR="00CC1CAF" w:rsidRDefault="00CC1CAF" w:rsidP="003B6E3D">
            <w:pPr>
              <w:rPr>
                <w:caps/>
                <w:szCs w:val="28"/>
              </w:rPr>
            </w:pPr>
            <w:r>
              <w:rPr>
                <w:caps/>
                <w:szCs w:val="28"/>
              </w:rPr>
              <w:t>Практические рекомендации …………………………....</w:t>
            </w:r>
          </w:p>
        </w:tc>
        <w:tc>
          <w:tcPr>
            <w:tcW w:w="1080" w:type="dxa"/>
            <w:tcBorders>
              <w:top w:val="nil"/>
              <w:left w:val="nil"/>
              <w:bottom w:val="nil"/>
              <w:right w:val="nil"/>
            </w:tcBorders>
            <w:vAlign w:val="bottom"/>
          </w:tcPr>
          <w:p w:rsidR="00CC1CAF" w:rsidRDefault="00CC1CAF" w:rsidP="003B6E3D">
            <w:pPr>
              <w:jc w:val="center"/>
              <w:rPr>
                <w:szCs w:val="28"/>
              </w:rPr>
            </w:pPr>
            <w:r>
              <w:rPr>
                <w:szCs w:val="28"/>
              </w:rPr>
              <w:t>123</w:t>
            </w:r>
          </w:p>
        </w:tc>
      </w:tr>
      <w:tr w:rsidR="00CC1CAF" w:rsidTr="003B6E3D">
        <w:tblPrEx>
          <w:tblCellMar>
            <w:top w:w="0" w:type="dxa"/>
            <w:bottom w:w="0" w:type="dxa"/>
          </w:tblCellMar>
        </w:tblPrEx>
        <w:tc>
          <w:tcPr>
            <w:tcW w:w="8280" w:type="dxa"/>
            <w:tcBorders>
              <w:top w:val="nil"/>
              <w:left w:val="nil"/>
              <w:bottom w:val="nil"/>
              <w:right w:val="nil"/>
            </w:tcBorders>
          </w:tcPr>
          <w:p w:rsidR="00CC1CAF" w:rsidRDefault="00CC1CAF" w:rsidP="003B6E3D">
            <w:pPr>
              <w:rPr>
                <w:caps/>
                <w:szCs w:val="28"/>
                <w:lang w:val="en-US"/>
              </w:rPr>
            </w:pPr>
            <w:r>
              <w:rPr>
                <w:caps/>
                <w:szCs w:val="28"/>
              </w:rPr>
              <w:t>Список использованной литературы……….……</w:t>
            </w:r>
            <w:r>
              <w:rPr>
                <w:caps/>
                <w:szCs w:val="28"/>
                <w:lang w:val="en-US"/>
              </w:rPr>
              <w:t>….</w:t>
            </w:r>
          </w:p>
        </w:tc>
        <w:tc>
          <w:tcPr>
            <w:tcW w:w="1080" w:type="dxa"/>
            <w:tcBorders>
              <w:top w:val="nil"/>
              <w:left w:val="nil"/>
              <w:bottom w:val="nil"/>
              <w:right w:val="nil"/>
            </w:tcBorders>
            <w:vAlign w:val="bottom"/>
          </w:tcPr>
          <w:p w:rsidR="00CC1CAF" w:rsidRDefault="00CC1CAF" w:rsidP="003B6E3D">
            <w:pPr>
              <w:jc w:val="center"/>
              <w:rPr>
                <w:szCs w:val="28"/>
              </w:rPr>
            </w:pPr>
            <w:r>
              <w:rPr>
                <w:szCs w:val="28"/>
              </w:rPr>
              <w:t>125</w:t>
            </w:r>
          </w:p>
        </w:tc>
      </w:tr>
    </w:tbl>
    <w:p w:rsidR="00CC1CAF" w:rsidRDefault="00CC1CAF" w:rsidP="00CC1CAF">
      <w:pPr>
        <w:ind w:left="720"/>
        <w:jc w:val="center"/>
        <w:rPr>
          <w:b/>
          <w:caps/>
          <w:lang w:val="uk-UA"/>
        </w:rPr>
      </w:pPr>
    </w:p>
    <w:p w:rsidR="00CC1CAF" w:rsidRDefault="00CC1CAF" w:rsidP="00CC1CAF">
      <w:pPr>
        <w:ind w:left="720"/>
        <w:jc w:val="center"/>
        <w:rPr>
          <w:b/>
          <w:caps/>
          <w:lang w:val="uk-UA"/>
        </w:rPr>
      </w:pPr>
    </w:p>
    <w:p w:rsidR="00CC1CAF" w:rsidRDefault="00CC1CAF" w:rsidP="00CC1CAF">
      <w:pPr>
        <w:ind w:left="720"/>
        <w:jc w:val="center"/>
        <w:rPr>
          <w:b/>
          <w:caps/>
          <w:lang w:val="uk-UA"/>
        </w:rPr>
      </w:pPr>
    </w:p>
    <w:p w:rsidR="00CC1CAF" w:rsidRDefault="00CC1CAF" w:rsidP="00CC1CAF">
      <w:pPr>
        <w:ind w:left="720"/>
        <w:jc w:val="center"/>
        <w:rPr>
          <w:b/>
          <w:caps/>
        </w:rPr>
        <w:sectPr w:rsidR="00CC1CAF">
          <w:headerReference w:type="even" r:id="rId10"/>
          <w:headerReference w:type="default" r:id="rId11"/>
          <w:pgSz w:w="11906" w:h="16838" w:code="9"/>
          <w:pgMar w:top="1440" w:right="851" w:bottom="1134" w:left="1701" w:header="709" w:footer="709" w:gutter="0"/>
          <w:cols w:space="708"/>
          <w:titlePg/>
          <w:docGrid w:linePitch="360"/>
        </w:sectPr>
      </w:pPr>
    </w:p>
    <w:p w:rsidR="00CC1CAF" w:rsidRDefault="00CC1CAF" w:rsidP="00CC1CAF">
      <w:pPr>
        <w:ind w:left="720"/>
        <w:jc w:val="center"/>
        <w:rPr>
          <w:b/>
          <w:caps/>
        </w:rPr>
      </w:pPr>
      <w:proofErr w:type="gramStart"/>
      <w:r>
        <w:rPr>
          <w:b/>
          <w:caps/>
        </w:rPr>
        <w:lastRenderedPageBreak/>
        <w:t>C</w:t>
      </w:r>
      <w:proofErr w:type="gramEnd"/>
      <w:r>
        <w:rPr>
          <w:b/>
          <w:caps/>
        </w:rPr>
        <w:t>писок используемых сокращений</w:t>
      </w:r>
    </w:p>
    <w:p w:rsidR="00CC1CAF" w:rsidRDefault="00CC1CAF" w:rsidP="00CC1CAF">
      <w:pPr>
        <w:jc w:val="center"/>
        <w:rPr>
          <w:b/>
          <w:caps/>
        </w:rPr>
      </w:pPr>
    </w:p>
    <w:p w:rsidR="00CC1CAF" w:rsidRDefault="00CC1CAF" w:rsidP="00CC1CAF">
      <w:pPr>
        <w:jc w:val="center"/>
        <w:rPr>
          <w:b/>
          <w:caps/>
        </w:rPr>
      </w:pPr>
    </w:p>
    <w:p w:rsidR="00CC1CAF" w:rsidRDefault="00CC1CAF" w:rsidP="00CC1CAF">
      <w:pPr>
        <w:rPr>
          <w:szCs w:val="28"/>
        </w:rPr>
      </w:pPr>
      <w:r>
        <w:rPr>
          <w:szCs w:val="28"/>
        </w:rPr>
        <w:t>ВГН</w:t>
      </w:r>
      <w:r>
        <w:rPr>
          <w:szCs w:val="28"/>
        </w:rPr>
        <w:tab/>
      </w:r>
      <w:r>
        <w:rPr>
          <w:szCs w:val="28"/>
        </w:rPr>
        <w:tab/>
        <w:t>–</w:t>
      </w:r>
      <w:r>
        <w:rPr>
          <w:szCs w:val="28"/>
        </w:rPr>
        <w:tab/>
        <w:t>волчаноч</w:t>
      </w:r>
      <w:r>
        <w:rPr>
          <w:szCs w:val="28"/>
          <w:lang w:val="uk-UA"/>
        </w:rPr>
        <w:t>н</w:t>
      </w:r>
      <w:r>
        <w:rPr>
          <w:szCs w:val="28"/>
        </w:rPr>
        <w:t>ый гломерулонефрит</w:t>
      </w:r>
    </w:p>
    <w:p w:rsidR="00CC1CAF" w:rsidRDefault="00CC1CAF" w:rsidP="00CC1CAF">
      <w:pPr>
        <w:rPr>
          <w:szCs w:val="28"/>
        </w:rPr>
      </w:pPr>
      <w:r>
        <w:rPr>
          <w:szCs w:val="28"/>
        </w:rPr>
        <w:t>СКВ</w:t>
      </w:r>
      <w:r>
        <w:rPr>
          <w:szCs w:val="28"/>
        </w:rPr>
        <w:tab/>
      </w:r>
      <w:r>
        <w:rPr>
          <w:szCs w:val="28"/>
        </w:rPr>
        <w:tab/>
        <w:t>–</w:t>
      </w:r>
      <w:r>
        <w:rPr>
          <w:szCs w:val="28"/>
        </w:rPr>
        <w:tab/>
        <w:t>системная красная волчанка</w:t>
      </w:r>
    </w:p>
    <w:p w:rsidR="00CC1CAF" w:rsidRDefault="00CC1CAF" w:rsidP="00CC1CAF">
      <w:pPr>
        <w:ind w:left="2124" w:hanging="2124"/>
        <w:rPr>
          <w:szCs w:val="28"/>
          <w:lang w:val="uk-UA"/>
        </w:rPr>
      </w:pPr>
      <w:r>
        <w:rPr>
          <w:szCs w:val="28"/>
          <w:lang w:val="en-US"/>
        </w:rPr>
        <w:t>OR</w:t>
      </w:r>
      <w:r>
        <w:rPr>
          <w:szCs w:val="28"/>
          <w:lang w:val="uk-UA"/>
        </w:rPr>
        <w:t xml:space="preserve"> </w:t>
      </w:r>
      <w:r>
        <w:t xml:space="preserve">[95% </w:t>
      </w:r>
      <w:r>
        <w:rPr>
          <w:lang w:val="en-US"/>
        </w:rPr>
        <w:t>CI</w:t>
      </w:r>
      <w:r>
        <w:t>]</w:t>
      </w:r>
      <w:r>
        <w:rPr>
          <w:lang w:val="uk-UA"/>
        </w:rPr>
        <w:t xml:space="preserve"> </w:t>
      </w:r>
      <w:r>
        <w:rPr>
          <w:szCs w:val="28"/>
        </w:rPr>
        <w:t>–</w:t>
      </w:r>
      <w:r>
        <w:rPr>
          <w:szCs w:val="28"/>
        </w:rPr>
        <w:tab/>
        <w:t>отношение шансов (</w:t>
      </w:r>
      <w:r>
        <w:rPr>
          <w:szCs w:val="28"/>
          <w:lang w:val="en-US"/>
        </w:rPr>
        <w:t>odds</w:t>
      </w:r>
      <w:r>
        <w:rPr>
          <w:szCs w:val="28"/>
        </w:rPr>
        <w:t xml:space="preserve"> </w:t>
      </w:r>
      <w:r>
        <w:rPr>
          <w:szCs w:val="28"/>
          <w:lang w:val="en-US"/>
        </w:rPr>
        <w:t>ratio</w:t>
      </w:r>
      <w:r>
        <w:rPr>
          <w:szCs w:val="28"/>
        </w:rPr>
        <w:t>)</w:t>
      </w:r>
      <w:r>
        <w:rPr>
          <w:szCs w:val="28"/>
          <w:lang w:val="uk-UA"/>
        </w:rPr>
        <w:t xml:space="preserve"> и его 95% доверительный интервал (</w:t>
      </w:r>
      <w:r>
        <w:rPr>
          <w:szCs w:val="28"/>
          <w:lang w:val="en-US"/>
        </w:rPr>
        <w:t>confidence</w:t>
      </w:r>
      <w:r>
        <w:rPr>
          <w:szCs w:val="28"/>
        </w:rPr>
        <w:t xml:space="preserve"> </w:t>
      </w:r>
      <w:r>
        <w:rPr>
          <w:szCs w:val="28"/>
          <w:lang w:val="en-US"/>
        </w:rPr>
        <w:t>interval</w:t>
      </w:r>
      <w:r>
        <w:rPr>
          <w:szCs w:val="28"/>
          <w:lang w:val="uk-UA"/>
        </w:rPr>
        <w:t>)</w:t>
      </w:r>
    </w:p>
    <w:p w:rsidR="00CC1CAF" w:rsidRDefault="00CC1CAF" w:rsidP="00CC1CAF">
      <w:r>
        <w:rPr>
          <w:szCs w:val="28"/>
        </w:rPr>
        <w:t xml:space="preserve">М </w:t>
      </w:r>
      <w:r>
        <w:rPr>
          <w:szCs w:val="28"/>
        </w:rPr>
        <w:tab/>
      </w:r>
      <w:r>
        <w:rPr>
          <w:szCs w:val="28"/>
        </w:rPr>
        <w:tab/>
      </w:r>
      <w:r>
        <w:rPr>
          <w:szCs w:val="28"/>
        </w:rPr>
        <w:tab/>
        <w:t>–</w:t>
      </w:r>
      <w:r>
        <w:rPr>
          <w:szCs w:val="28"/>
        </w:rPr>
        <w:tab/>
      </w:r>
      <w:r>
        <w:t>средние величины</w:t>
      </w:r>
    </w:p>
    <w:p w:rsidR="00CC1CAF" w:rsidRDefault="00CC1CAF" w:rsidP="00CC1CAF">
      <w:r>
        <w:t xml:space="preserve">SD </w:t>
      </w:r>
      <w:r>
        <w:tab/>
      </w:r>
      <w:r>
        <w:tab/>
      </w:r>
      <w:r>
        <w:tab/>
        <w:t>–</w:t>
      </w:r>
      <w:r>
        <w:tab/>
        <w:t>стандартное отклонение</w:t>
      </w:r>
    </w:p>
    <w:p w:rsidR="00CC1CAF" w:rsidRDefault="00CC1CAF" w:rsidP="00CC1CAF">
      <w:pPr>
        <w:ind w:left="2124" w:hanging="2124"/>
        <w:rPr>
          <w:szCs w:val="28"/>
        </w:rPr>
      </w:pPr>
    </w:p>
    <w:p w:rsidR="00CC1CAF" w:rsidRDefault="00CC1CAF" w:rsidP="00CC1CAF">
      <w:pPr>
        <w:ind w:left="2124" w:hanging="2124"/>
        <w:rPr>
          <w:szCs w:val="28"/>
        </w:rPr>
      </w:pPr>
    </w:p>
    <w:p w:rsidR="00CC1CAF" w:rsidRDefault="00CC1CAF" w:rsidP="00CC1CAF">
      <w:pPr>
        <w:jc w:val="center"/>
        <w:rPr>
          <w:b/>
          <w:szCs w:val="28"/>
        </w:rPr>
      </w:pPr>
      <w:r>
        <w:rPr>
          <w:szCs w:val="28"/>
        </w:rPr>
        <w:br w:type="page"/>
      </w:r>
      <w:r>
        <w:rPr>
          <w:b/>
          <w:szCs w:val="28"/>
        </w:rPr>
        <w:lastRenderedPageBreak/>
        <w:t>ВВЕДЕНИЕ</w:t>
      </w:r>
    </w:p>
    <w:p w:rsidR="00CC1CAF" w:rsidRDefault="00CC1CAF" w:rsidP="00CC1CAF">
      <w:pPr>
        <w:jc w:val="center"/>
        <w:rPr>
          <w:b/>
          <w:szCs w:val="28"/>
        </w:rPr>
      </w:pPr>
    </w:p>
    <w:p w:rsidR="00CC1CAF" w:rsidRDefault="00CC1CAF" w:rsidP="00CC1CAF">
      <w:pPr>
        <w:jc w:val="center"/>
        <w:rPr>
          <w:b/>
          <w:szCs w:val="28"/>
        </w:rPr>
      </w:pPr>
    </w:p>
    <w:p w:rsidR="00CC1CAF" w:rsidRDefault="00CC1CAF" w:rsidP="00CC1CAF">
      <w:r>
        <w:rPr>
          <w:b/>
        </w:rPr>
        <w:t xml:space="preserve">Актуальность темы. </w:t>
      </w:r>
      <w:proofErr w:type="gramStart"/>
      <w:r>
        <w:t>При системной красной волчанке (СКВ)</w:t>
      </w:r>
      <w:r>
        <w:rPr>
          <w:b/>
        </w:rPr>
        <w:t xml:space="preserve"> </w:t>
      </w:r>
      <w:r>
        <w:t xml:space="preserve">волчаночный гломерулонефит (ВГН) является одним из наиболее частых и серьезных висцеритов, во многом определяющим течение, выбор лечебной программы и прогноз </w:t>
      </w:r>
      <w:r>
        <w:rPr>
          <w:lang w:val="uk-UA"/>
        </w:rPr>
        <w:t xml:space="preserve">заболевания </w:t>
      </w:r>
      <w:r>
        <w:t xml:space="preserve">[8, </w:t>
      </w:r>
      <w:r>
        <w:rPr>
          <w:lang w:val="uk-UA"/>
        </w:rPr>
        <w:t>20</w:t>
      </w:r>
      <w:r>
        <w:t>,</w:t>
      </w:r>
      <w:r>
        <w:rPr>
          <w:lang w:val="uk-UA"/>
        </w:rPr>
        <w:t xml:space="preserve"> 33</w:t>
      </w:r>
      <w:r>
        <w:t>, 121].</w:t>
      </w:r>
      <w:proofErr w:type="gramEnd"/>
      <w:r>
        <w:t xml:space="preserve"> По данным различных авторов [41, 46, 58], клинические проявления ВГН, устанавливаемые на основании изучения мочевого синдрома и функции почек, довольно широко варьируют и выявляются в 35-90 % случаев СКВ. В то же время, при </w:t>
      </w:r>
      <w:proofErr w:type="gramStart"/>
      <w:r>
        <w:t>углубленном</w:t>
      </w:r>
      <w:proofErr w:type="gramEnd"/>
      <w:r>
        <w:t xml:space="preserve"> (световая, иммунофлюоресцентная и электронная микроскопия) изучение почечной ткани практически в 100 % случаев СКВ выявляются различные патологические изменения в почечных структурах [42, 46, 58, 155]. </w:t>
      </w:r>
    </w:p>
    <w:p w:rsidR="00CC1CAF" w:rsidRDefault="00CC1CAF" w:rsidP="00CC1CAF">
      <w:r>
        <w:t xml:space="preserve">ВГН характеризуется гетерогенным характером клинико-лабораторных и морфологических параметров, что послужило основанием для выделения его различных клинических вариантов и морфологических классов [24, 33, 86, 116]. Такое разнообразие клинических вариантов и морфологических форм ВГН обусловливает серьезные </w:t>
      </w:r>
      <w:proofErr w:type="gramStart"/>
      <w:r>
        <w:t>трудности</w:t>
      </w:r>
      <w:proofErr w:type="gramEnd"/>
      <w:r>
        <w:t xml:space="preserve"> как в выборе оптимальной лечебной тактики, так и в прогнозировании характера его течения и исхода.</w:t>
      </w:r>
    </w:p>
    <w:p w:rsidR="00CC1CAF" w:rsidRDefault="00CC1CAF" w:rsidP="00CC1CAF">
      <w:r>
        <w:t>Значимость различных клинических, лабораторных и морфологических параметров в прогнозировании течения ВГН и его исхода оценивается различными авторами неоднозначно, что можно объяснить гетерогенностью исследуемых групп больных, недостаточной унификацией лабораторных и гистологических методик, недооценкой клинических, лабораторных и морфологических данных при динамическом наблюдении за больными [11, 31, 58, 68]. Однозначно признается, что только комплексная оценка клинико-лабораторных и морфологических показателей позволит повысить эффективность терапии и улучшить прогнозирование течения ВГН [7, 12, 20, 111, 120, 127].</w:t>
      </w:r>
    </w:p>
    <w:p w:rsidR="00CC1CAF" w:rsidRDefault="00CC1CAF" w:rsidP="00CC1CAF">
      <w:r>
        <w:t>Сказанное выше аргументирует необходимость поисков критериев прогнозирования течения и исхода ВГН, базирующихся на углубленной оценке клинических, лабораторных и морфологических характеристик, что раскрывает новые перспективы в улучшении прогноза для таких больных за счет обоснования критериев выбора адекватной лечебной тактики.</w:t>
      </w:r>
    </w:p>
    <w:p w:rsidR="00CC1CAF" w:rsidRDefault="00CC1CAF" w:rsidP="00CC1CAF">
      <w:pPr>
        <w:ind w:firstLine="708"/>
      </w:pPr>
      <w:r>
        <w:rPr>
          <w:b/>
        </w:rPr>
        <w:t xml:space="preserve">Связь работы с научными программами, планами и темами. </w:t>
      </w:r>
    </w:p>
    <w:p w:rsidR="00CC1CAF" w:rsidRDefault="00CC1CAF" w:rsidP="00CC1CAF">
      <w:pPr>
        <w:ind w:firstLine="708"/>
      </w:pPr>
      <w:proofErr w:type="gramStart"/>
      <w:r>
        <w:t>Диссертационная работа выполнялась в рамках научно-исследовательской работы кафедры внутренних болезней и общей практики – семейной медицины факультета интернатуры и последипломного образования Донецкого национального медицинского университета им. М.Горького МЗ Украины «Изучить состояние почек и сердечно-сосудистой системы у больных первичным гломерулонефритом и диабетической и недиабетическими нефропатиями и обосновать лечебные подходы в зависимости от выявленных нарушений » (№ госрегистрации 0104 U 010567).</w:t>
      </w:r>
      <w:proofErr w:type="gramEnd"/>
    </w:p>
    <w:p w:rsidR="00CC1CAF" w:rsidRDefault="00CC1CAF" w:rsidP="00CC1CAF">
      <w:r>
        <w:t>Соискатель был соисполнителем данной научно-исследовательской работы.</w:t>
      </w:r>
    </w:p>
    <w:p w:rsidR="00CC1CAF" w:rsidRDefault="00CC1CAF" w:rsidP="00CC1CAF">
      <w:r>
        <w:rPr>
          <w:b/>
        </w:rPr>
        <w:t>Цель исследования:</w:t>
      </w:r>
      <w:r>
        <w:t xml:space="preserve"> улучшение качества прогнозирования течения и исхода волчаночного гломерулонефрита</w:t>
      </w:r>
      <w:r>
        <w:rPr>
          <w:lang w:val="uk-UA"/>
        </w:rPr>
        <w:t xml:space="preserve"> </w:t>
      </w:r>
      <w:r>
        <w:t xml:space="preserve">у больных </w:t>
      </w:r>
      <w:r>
        <w:rPr>
          <w:szCs w:val="28"/>
          <w:lang w:val="en-US"/>
        </w:rPr>
        <w:t>II</w:t>
      </w:r>
      <w:r>
        <w:rPr>
          <w:szCs w:val="28"/>
        </w:rPr>
        <w:t xml:space="preserve">, </w:t>
      </w:r>
      <w:r>
        <w:rPr>
          <w:szCs w:val="28"/>
          <w:lang w:val="en-US"/>
        </w:rPr>
        <w:t>III</w:t>
      </w:r>
      <w:r>
        <w:rPr>
          <w:szCs w:val="28"/>
        </w:rPr>
        <w:t xml:space="preserve">, </w:t>
      </w:r>
      <w:r>
        <w:rPr>
          <w:szCs w:val="28"/>
          <w:lang w:val="en-US"/>
        </w:rPr>
        <w:t>IV</w:t>
      </w:r>
      <w:r>
        <w:rPr>
          <w:szCs w:val="28"/>
        </w:rPr>
        <w:t xml:space="preserve">, </w:t>
      </w:r>
      <w:r>
        <w:rPr>
          <w:szCs w:val="28"/>
          <w:lang w:val="en-US"/>
        </w:rPr>
        <w:t>V</w:t>
      </w:r>
      <w:r>
        <w:rPr>
          <w:szCs w:val="28"/>
        </w:rPr>
        <w:t xml:space="preserve"> морфологически</w:t>
      </w:r>
      <w:r>
        <w:rPr>
          <w:szCs w:val="28"/>
          <w:lang w:val="uk-UA"/>
        </w:rPr>
        <w:t>ми</w:t>
      </w:r>
      <w:r>
        <w:rPr>
          <w:szCs w:val="28"/>
        </w:rPr>
        <w:t xml:space="preserve"> класс</w:t>
      </w:r>
      <w:r>
        <w:rPr>
          <w:szCs w:val="28"/>
          <w:lang w:val="uk-UA"/>
        </w:rPr>
        <w:t>ами</w:t>
      </w:r>
    </w:p>
    <w:p w:rsidR="00CC1CAF" w:rsidRDefault="00CC1CAF" w:rsidP="00CC1CAF">
      <w:pPr>
        <w:rPr>
          <w:b/>
        </w:rPr>
      </w:pPr>
      <w:r>
        <w:rPr>
          <w:b/>
        </w:rPr>
        <w:t>Задачи исследования:</w:t>
      </w:r>
    </w:p>
    <w:p w:rsidR="00CC1CAF" w:rsidRDefault="00CC1CAF" w:rsidP="00CC1CAF">
      <w:r>
        <w:t xml:space="preserve">У больных </w:t>
      </w:r>
      <w:r>
        <w:rPr>
          <w:szCs w:val="28"/>
          <w:lang w:val="en-US"/>
        </w:rPr>
        <w:t>II</w:t>
      </w:r>
      <w:r>
        <w:rPr>
          <w:szCs w:val="28"/>
        </w:rPr>
        <w:t xml:space="preserve">, </w:t>
      </w:r>
      <w:r>
        <w:rPr>
          <w:szCs w:val="28"/>
          <w:lang w:val="en-US"/>
        </w:rPr>
        <w:t>III</w:t>
      </w:r>
      <w:r>
        <w:rPr>
          <w:szCs w:val="28"/>
        </w:rPr>
        <w:t xml:space="preserve">, </w:t>
      </w:r>
      <w:r>
        <w:rPr>
          <w:szCs w:val="28"/>
          <w:lang w:val="en-US"/>
        </w:rPr>
        <w:t>IV</w:t>
      </w:r>
      <w:r>
        <w:rPr>
          <w:szCs w:val="28"/>
        </w:rPr>
        <w:t xml:space="preserve">, </w:t>
      </w:r>
      <w:r>
        <w:rPr>
          <w:szCs w:val="28"/>
          <w:lang w:val="en-US"/>
        </w:rPr>
        <w:t>V</w:t>
      </w:r>
      <w:r>
        <w:rPr>
          <w:szCs w:val="28"/>
        </w:rPr>
        <w:t xml:space="preserve"> морфологически</w:t>
      </w:r>
      <w:r>
        <w:rPr>
          <w:szCs w:val="28"/>
          <w:lang w:val="uk-UA"/>
        </w:rPr>
        <w:t>ми</w:t>
      </w:r>
      <w:r>
        <w:rPr>
          <w:szCs w:val="28"/>
        </w:rPr>
        <w:t xml:space="preserve"> класс</w:t>
      </w:r>
      <w:r>
        <w:rPr>
          <w:szCs w:val="28"/>
          <w:lang w:val="uk-UA"/>
        </w:rPr>
        <w:t>ами</w:t>
      </w:r>
      <w:r>
        <w:rPr>
          <w:szCs w:val="28"/>
        </w:rPr>
        <w:t xml:space="preserve"> </w:t>
      </w:r>
      <w:proofErr w:type="gramStart"/>
      <w:r>
        <w:t>волчаночного</w:t>
      </w:r>
      <w:proofErr w:type="gramEnd"/>
      <w:r>
        <w:t xml:space="preserve"> гломерулонефрита:</w:t>
      </w:r>
    </w:p>
    <w:p w:rsidR="00CC1CAF" w:rsidRDefault="00CC1CAF" w:rsidP="00CC1CAF">
      <w:r>
        <w:t>1. Изучить патоморфологические особенности гломерулярных и тубуло-интерстициальных поражений по данным световой микроскопии почечной ткани, включая полуколичественную оценку «активных» и «хронических» («неактивных») изменений.</w:t>
      </w:r>
    </w:p>
    <w:p w:rsidR="00CC1CAF" w:rsidRDefault="00CC1CAF" w:rsidP="00CC1CAF">
      <w:r>
        <w:t>2. Провести сопоставления морфологической картины с различными клинико-лабораторными показателями.</w:t>
      </w:r>
    </w:p>
    <w:p w:rsidR="00CC1CAF" w:rsidRDefault="00CC1CAF" w:rsidP="00CC1CAF">
      <w:r>
        <w:t xml:space="preserve">3. Изучить характер течения различных морфологических классов волчаночного гломерулонефрита с учетом результатов индукционной иммунодепрессивной терапии (терапии первого шага), а также приверженности больных к назначенному лечению. </w:t>
      </w:r>
    </w:p>
    <w:p w:rsidR="00CC1CAF" w:rsidRDefault="00CC1CAF" w:rsidP="00CC1CAF">
      <w:r>
        <w:t>4. Разработать и обосновать критерии прогнозирования характера течения и исхода ВГН на основе проведения клинико-морфологических сопоставлений по данным ретроспективного анализа и проспективного наблюдения.</w:t>
      </w:r>
    </w:p>
    <w:p w:rsidR="00CC1CAF" w:rsidRDefault="00CC1CAF" w:rsidP="00CC1CAF">
      <w:r>
        <w:rPr>
          <w:i/>
        </w:rPr>
        <w:lastRenderedPageBreak/>
        <w:t>Объект исследования:</w:t>
      </w:r>
      <w:r>
        <w:t xml:space="preserve"> больные </w:t>
      </w:r>
      <w:r>
        <w:rPr>
          <w:szCs w:val="28"/>
          <w:lang w:val="en-US"/>
        </w:rPr>
        <w:t>II</w:t>
      </w:r>
      <w:r>
        <w:rPr>
          <w:szCs w:val="28"/>
        </w:rPr>
        <w:t xml:space="preserve">, </w:t>
      </w:r>
      <w:r>
        <w:rPr>
          <w:szCs w:val="28"/>
          <w:lang w:val="en-US"/>
        </w:rPr>
        <w:t>III</w:t>
      </w:r>
      <w:r>
        <w:rPr>
          <w:szCs w:val="28"/>
        </w:rPr>
        <w:t xml:space="preserve">, </w:t>
      </w:r>
      <w:r>
        <w:rPr>
          <w:szCs w:val="28"/>
          <w:lang w:val="en-US"/>
        </w:rPr>
        <w:t>IV</w:t>
      </w:r>
      <w:r>
        <w:rPr>
          <w:szCs w:val="28"/>
        </w:rPr>
        <w:t xml:space="preserve">, </w:t>
      </w:r>
      <w:r>
        <w:rPr>
          <w:szCs w:val="28"/>
          <w:lang w:val="en-US"/>
        </w:rPr>
        <w:t>V</w:t>
      </w:r>
      <w:r>
        <w:t xml:space="preserve"> </w:t>
      </w:r>
      <w:r>
        <w:rPr>
          <w:szCs w:val="28"/>
        </w:rPr>
        <w:t xml:space="preserve">морфологическими классами </w:t>
      </w:r>
      <w:r>
        <w:t>волчаночного гломерулонефрита.</w:t>
      </w:r>
    </w:p>
    <w:p w:rsidR="00CC1CAF" w:rsidRDefault="00CC1CAF" w:rsidP="00CC1CAF">
      <w:proofErr w:type="gramStart"/>
      <w:r>
        <w:rPr>
          <w:i/>
        </w:rPr>
        <w:t>Предмет исследования:</w:t>
      </w:r>
      <w:r>
        <w:t xml:space="preserve"> параметры мочевого синдрома, показатели функционального состояния  почек, морфологические особенности интрагломерулярных и тубуло-интерстициальных изменений в почках, морфологические индексы активности и хронизации, </w:t>
      </w:r>
      <w:r>
        <w:rPr>
          <w:szCs w:val="28"/>
        </w:rPr>
        <w:t xml:space="preserve">непосредственные результаты различных вариантов индукционной иммунодепрессивной терапии, </w:t>
      </w:r>
      <w:r>
        <w:t xml:space="preserve">активность системной красной волчанки на момент проведения прижизненного морфологического исследования почек и в динамике последующего наблюдения, </w:t>
      </w:r>
      <w:r>
        <w:rPr>
          <w:szCs w:val="28"/>
        </w:rPr>
        <w:t xml:space="preserve">частота обострений, приверженность пациентов к назначенной терапии, сроки летальных исходов и их причины у </w:t>
      </w:r>
      <w:r>
        <w:t>больных</w:t>
      </w:r>
      <w:proofErr w:type="gramEnd"/>
      <w:r>
        <w:t xml:space="preserve"> волчаночным гломерулонефритом. </w:t>
      </w:r>
    </w:p>
    <w:p w:rsidR="00CC1CAF" w:rsidRDefault="00CC1CAF" w:rsidP="00CC1CAF">
      <w:r>
        <w:rPr>
          <w:i/>
        </w:rPr>
        <w:t>Методы исследования:</w:t>
      </w:r>
      <w:r>
        <w:t xml:space="preserve"> общеклинические; инструментальные (чрескожная пункционная биопсия почки); морфологические (световая микроскопия); статистические.</w:t>
      </w:r>
    </w:p>
    <w:p w:rsidR="00CC1CAF" w:rsidRDefault="00CC1CAF" w:rsidP="00CC1CAF">
      <w:pPr>
        <w:ind w:firstLine="708"/>
      </w:pPr>
      <w:r>
        <w:rPr>
          <w:b/>
        </w:rPr>
        <w:t>Научная новизна полученных результатов</w:t>
      </w:r>
      <w:r>
        <w:t xml:space="preserve"> </w:t>
      </w:r>
    </w:p>
    <w:p w:rsidR="00CC1CAF" w:rsidRDefault="00CC1CAF" w:rsidP="00CC1CAF">
      <w:pPr>
        <w:ind w:firstLine="708"/>
      </w:pPr>
      <w:r>
        <w:t xml:space="preserve">Впервые у больных </w:t>
      </w:r>
      <w:proofErr w:type="gramStart"/>
      <w:r>
        <w:t>волчаночным</w:t>
      </w:r>
      <w:proofErr w:type="gramEnd"/>
      <w:r>
        <w:t xml:space="preserve"> гломерулонефритом изучены взаимоотношения между клинико-лабораторными показателями и морфологическими индексами активности и хронизации, которые характеризуют особенности гломерулярных и тубуло-интерстициальных поражений.</w:t>
      </w:r>
    </w:p>
    <w:p w:rsidR="00CC1CAF" w:rsidRDefault="00CC1CAF" w:rsidP="00CC1CAF">
      <w:proofErr w:type="gramStart"/>
      <w:r>
        <w:t xml:space="preserve">С помощью мультивариантного логистического регрессионного анализа на основании клинико-лабораторных и морфологических показателей впервые установлены критерии прогнозирования характера течения и исхода </w:t>
      </w:r>
      <w:r>
        <w:rPr>
          <w:szCs w:val="28"/>
        </w:rPr>
        <w:t xml:space="preserve">волчаночного гломерулонефрита, которыми стали: </w:t>
      </w:r>
      <w:r>
        <w:t>персистирующая высокая активность системной красной волчанки, позднее начало патогенетической терапии, отсутствие эффекта или ухудшение при ее проведении, использование в фазе индукции монотерапии глюкокортикоидов или азатиоприна в комбинации с умеренными дозами глюкокортикоидов, частые обострения волчаночного гломерулонефрита, уровни</w:t>
      </w:r>
      <w:proofErr w:type="gramEnd"/>
      <w:r>
        <w:t xml:space="preserve"> индекса хронизации, превышающие 8 баллов, а также низкая приверженность больных к программе лечения.</w:t>
      </w:r>
    </w:p>
    <w:p w:rsidR="00CC1CAF" w:rsidRDefault="00CC1CAF" w:rsidP="00CC1CAF">
      <w:r>
        <w:rPr>
          <w:b/>
        </w:rPr>
        <w:t>Практическая значимость полученных результатов.</w:t>
      </w:r>
      <w:r>
        <w:t xml:space="preserve"> </w:t>
      </w:r>
    </w:p>
    <w:p w:rsidR="00CC1CAF" w:rsidRDefault="00CC1CAF" w:rsidP="00CC1CAF">
      <w:r>
        <w:t xml:space="preserve">Проведенные исследования показали необходимость прижизненного морфологического исследования почек и проведения полуколичественной </w:t>
      </w:r>
      <w:proofErr w:type="gramStart"/>
      <w:r>
        <w:t>оценки</w:t>
      </w:r>
      <w:proofErr w:type="gramEnd"/>
      <w:r>
        <w:t xml:space="preserve"> активных и хронических гломерулярных и тубуло-интерстициальных изменений при волчаночном гломерулонефрите с определением индексов активности и хронизации, которые позволяют прогнозировать характер течения и исхода почечного поражения. </w:t>
      </w:r>
    </w:p>
    <w:p w:rsidR="00CC1CAF" w:rsidRDefault="00CC1CAF" w:rsidP="00CC1CAF">
      <w:r>
        <w:t xml:space="preserve">Среди пациентов с </w:t>
      </w:r>
      <w:proofErr w:type="gramStart"/>
      <w:r>
        <w:t>волчаночным</w:t>
      </w:r>
      <w:proofErr w:type="gramEnd"/>
      <w:r>
        <w:t xml:space="preserve"> гломерулонефритом выделена группа высокого риска неблагоприятного течения и исхода почечного поражения. </w:t>
      </w:r>
    </w:p>
    <w:p w:rsidR="00CC1CAF" w:rsidRDefault="00CC1CAF" w:rsidP="00CC1CAF">
      <w:r>
        <w:rPr>
          <w:b/>
        </w:rPr>
        <w:t>Внедрение результатов исследования в практику.</w:t>
      </w:r>
      <w:r>
        <w:t xml:space="preserve"> Полученные результаты внедрены в практику работы нефрологического и терапевтического отделений центральной городской клинической больницы № 1 (г. Донецк), нефрологического отделения Донецкого областного клинического территориального медицинского объединения (г</w:t>
      </w:r>
      <w:proofErr w:type="gramStart"/>
      <w:r>
        <w:t>.Д</w:t>
      </w:r>
      <w:proofErr w:type="gramEnd"/>
      <w:r>
        <w:t>онецк), нефрологического отделения Макеевской городской больницы №1 (г.Макеевка, Донецкая область), терапевтических отделений городской больницы № 1 и № 5 г. Мариуполя (Донецкая область), отделе нефрологии ГУ «Институт терапии АМН Украины им. акад. Л.Т.Малой» (г. Харьков), ГУ «Институт нефрологии АМН Украины» (г. Киев) а также используются в педагогическом процессе на кафедре внутренних болезней и общей практики – семейной медицины факультета интернатуры и последипломного образования Донецкого национального медицинского университета им.М.Горького МОЗ Украины, что подтверждено актами внедрения.</w:t>
      </w:r>
    </w:p>
    <w:p w:rsidR="00CC1CAF" w:rsidRDefault="00CC1CAF" w:rsidP="00CC1CAF">
      <w:r>
        <w:rPr>
          <w:b/>
        </w:rPr>
        <w:t>Личный вклад соискателя.</w:t>
      </w:r>
      <w:r>
        <w:rPr>
          <w:b/>
          <w:lang w:val="uk-UA"/>
        </w:rPr>
        <w:t xml:space="preserve"> </w:t>
      </w:r>
      <w:r>
        <w:t>Представлен</w:t>
      </w:r>
      <w:r>
        <w:rPr>
          <w:lang w:val="uk-UA"/>
        </w:rPr>
        <w:t>н</w:t>
      </w:r>
      <w:r>
        <w:t xml:space="preserve">ые в данной работе научные материалы являются личным вкладом автора в исследуемую проблему. Автором самостоятельно проведен патентно-информационный поиск, проанализированы литературные источники по теме исследования, подготовлен обзор литературы. Вместе с научным руководителем определены цель и задачи исследования. Автор самостоятельно провел ретроспективный анализ течения заболевания, осуществлял проспективное наблюдение и обследование больных </w:t>
      </w:r>
      <w:proofErr w:type="gramStart"/>
      <w:r>
        <w:t>волчаночным</w:t>
      </w:r>
      <w:proofErr w:type="gramEnd"/>
      <w:r>
        <w:t xml:space="preserve"> гломерулонефритом, формализацию результатов гистологического исследования биоптатов почки и полуколичественную оценку активных и хронических изменений в паренхиматозных </w:t>
      </w:r>
      <w:r>
        <w:lastRenderedPageBreak/>
        <w:t>структурах, готовил материалы для оформления патентов; оценивал результаты индукционной терапии и характер течения заболевания. Автором самостоятельно выполнена статистическая обработка и научный анализ полученных данных, сформулированы основные положения, выводы и практические рекомендации.</w:t>
      </w:r>
    </w:p>
    <w:p w:rsidR="00CC1CAF" w:rsidRDefault="00CC1CAF" w:rsidP="00CC1CAF">
      <w:r>
        <w:rPr>
          <w:b/>
        </w:rPr>
        <w:t>Апробация результатов диссертации.</w:t>
      </w:r>
      <w:r>
        <w:t xml:space="preserve"> </w:t>
      </w:r>
      <w:proofErr w:type="gramStart"/>
      <w:r>
        <w:t xml:space="preserve">Основные положения и результаты диссертационной работы были представлены и обсуждены на </w:t>
      </w:r>
      <w:r>
        <w:rPr>
          <w:lang w:val="en-US"/>
        </w:rPr>
        <w:t>IV</w:t>
      </w:r>
      <w:r>
        <w:t xml:space="preserve"> съезде ревматологов Украины (</w:t>
      </w:r>
      <w:r>
        <w:rPr>
          <w:lang w:val="uk-UA"/>
        </w:rPr>
        <w:t>г. Полтава</w:t>
      </w:r>
      <w:r>
        <w:t>, 2005), Республиканской научно-практической конференции по ревматологии (</w:t>
      </w:r>
      <w:r>
        <w:rPr>
          <w:lang w:val="uk-UA"/>
        </w:rPr>
        <w:t xml:space="preserve">г. </w:t>
      </w:r>
      <w:r>
        <w:t>Донецк, 2006) и на межкафедральном заседании кафедр внутренних болезней и общей практики – семейной медицины факультета интернатуры и последипломного образования, а также патологической анатомии Донецкого национального медицинского университета им М.Горького 11.03.2008 (протокол № 11).</w:t>
      </w:r>
      <w:proofErr w:type="gramEnd"/>
    </w:p>
    <w:p w:rsidR="00CC1CAF" w:rsidRDefault="00CC1CAF" w:rsidP="00CC1CAF">
      <w:r>
        <w:rPr>
          <w:b/>
        </w:rPr>
        <w:t>Публикации.</w:t>
      </w:r>
      <w:r>
        <w:t xml:space="preserve"> По материалам диссертации опубликовано 11 научных работ, из них 7 статей в изданиях, утвержденных ВАК Украины (в том числе 3 самостоятельные), 2 патента и 2 тезисов в сборниках конференций и съездов.</w:t>
      </w:r>
    </w:p>
    <w:p w:rsidR="00CC1CAF" w:rsidRDefault="00CC1CAF" w:rsidP="00CC1CAF">
      <w:pPr>
        <w:autoSpaceDE w:val="0"/>
        <w:autoSpaceDN w:val="0"/>
        <w:adjustRightInd w:val="0"/>
        <w:ind w:left="-360" w:firstLine="360"/>
        <w:jc w:val="center"/>
        <w:rPr>
          <w:rFonts w:ascii="Times New Roman CYR" w:hAnsi="Times New Roman CYR" w:cs="Times New Roman CYR"/>
          <w:b/>
          <w:bCs/>
          <w:lang w:val="uk-UA"/>
        </w:rPr>
      </w:pPr>
      <w:r>
        <w:rPr>
          <w:rFonts w:ascii="Times New Roman CYR" w:hAnsi="Times New Roman CYR" w:cs="Times New Roman CYR"/>
          <w:b/>
          <w:bCs/>
          <w:lang w:val="uk-UA"/>
        </w:rPr>
        <w:t>ВЫВОДЫ</w:t>
      </w:r>
    </w:p>
    <w:p w:rsidR="00CC1CAF" w:rsidRDefault="00CC1CAF" w:rsidP="00CC1CAF">
      <w:pPr>
        <w:autoSpaceDE w:val="0"/>
        <w:autoSpaceDN w:val="0"/>
        <w:adjustRightInd w:val="0"/>
        <w:ind w:left="-360" w:firstLine="360"/>
        <w:jc w:val="center"/>
        <w:rPr>
          <w:rFonts w:ascii="Times New Roman CYR" w:hAnsi="Times New Roman CYR" w:cs="Times New Roman CYR"/>
          <w:b/>
          <w:bCs/>
          <w:lang w:val="uk-UA"/>
        </w:rPr>
      </w:pPr>
    </w:p>
    <w:p w:rsidR="00CC1CAF" w:rsidRDefault="00CC1CAF" w:rsidP="00CC1CAF">
      <w:pPr>
        <w:autoSpaceDE w:val="0"/>
        <w:autoSpaceDN w:val="0"/>
        <w:adjustRightInd w:val="0"/>
        <w:ind w:left="-360" w:firstLine="360"/>
        <w:jc w:val="center"/>
        <w:rPr>
          <w:rFonts w:ascii="Times New Roman CYR" w:hAnsi="Times New Roman CYR" w:cs="Times New Roman CYR"/>
          <w:b/>
          <w:bCs/>
          <w:lang w:val="uk-UA"/>
        </w:rPr>
      </w:pPr>
    </w:p>
    <w:p w:rsidR="00CC1CAF" w:rsidRDefault="00CC1CAF" w:rsidP="00CC1CAF">
      <w:pPr>
        <w:ind w:left="709"/>
      </w:pPr>
      <w:r>
        <w:t>В диссертации проведено теоретическое обобщение и достигнуто</w:t>
      </w:r>
    </w:p>
    <w:p w:rsidR="00CC1CAF" w:rsidRDefault="00CC1CAF" w:rsidP="00CC1CAF">
      <w:r>
        <w:t>новое решение актуальной задачи нефрологии – разработаны клинико-лабораторные и морфологические критерии прогнозирования течения и исхода II, III, IV и V морфологических классов волчаночного гломерулонефрита.</w:t>
      </w:r>
    </w:p>
    <w:p w:rsidR="00CC1CAF" w:rsidRDefault="00CC1CAF" w:rsidP="00CC1CAF">
      <w:pPr>
        <w:tabs>
          <w:tab w:val="num" w:pos="0"/>
        </w:tabs>
        <w:ind w:firstLine="720"/>
      </w:pPr>
      <w:r>
        <w:t xml:space="preserve">1. Для различных морфологических классов </w:t>
      </w:r>
      <w:proofErr w:type="gramStart"/>
      <w:r>
        <w:t>волчаночного</w:t>
      </w:r>
      <w:proofErr w:type="gramEnd"/>
      <w:r>
        <w:t xml:space="preserve"> гломерулонефрита установлены патоморфологические особенности (гломерулярные и тубуло-интерстициальные). Гломерулярные изменения характеризуются широким спектром – </w:t>
      </w:r>
      <w:proofErr w:type="gramStart"/>
      <w:r>
        <w:t>от</w:t>
      </w:r>
      <w:proofErr w:type="gramEnd"/>
      <w:r>
        <w:t xml:space="preserve"> минимальных при II классе до тяжелых при III, IV и V морфологических классах. Гломерулярные изменения при  III и IV классах принципиально отличаются только по удельному весу вовлеченных в патологический процесс клубочков (менее или более 50 % соответственно). </w:t>
      </w:r>
      <w:proofErr w:type="gramStart"/>
      <w:r>
        <w:t>Для всех морфологических классов волчаночного гломерулонефрита характерны тубуло-интерстициальные изменения, тяжесть и распространенность которых характеризуются широкой вариабельностью, но они существенно менее выражены при  II классе.</w:t>
      </w:r>
      <w:proofErr w:type="gramEnd"/>
    </w:p>
    <w:p w:rsidR="00CC1CAF" w:rsidRDefault="00CC1CAF" w:rsidP="00CC1CAF">
      <w:pPr>
        <w:tabs>
          <w:tab w:val="num" w:pos="0"/>
        </w:tabs>
        <w:ind w:firstLine="720"/>
      </w:pPr>
      <w:r>
        <w:t>2. На основании клинико-морфологических сопоставлений установлено: при II морфологическом классе волчаночного гломерулонефрита уровни протеинурии, цилиндрурии, креатинина сыворотки крови, систолического и диастолического артериального давления были значимо ниже соответствующих показателей при III, IV и V классах, а скорость клубочковой фильтрации – выше. Не выявлено существенных различий в вышеперечисленных параметрах между III, IV и V классами. Средние значения гематурии у больных со II и V классами оказались достоверно ниже, чем у пациентов с III и IV классами.</w:t>
      </w:r>
    </w:p>
    <w:p w:rsidR="00CC1CAF" w:rsidRDefault="00CC1CAF" w:rsidP="00CC1CAF">
      <w:pPr>
        <w:ind w:firstLine="720"/>
      </w:pPr>
      <w:r>
        <w:t xml:space="preserve">2. По данным полуколичественной оценки «активных» и «хронических» изменений при светомикроскопическом изучении нефробиоптатов, для </w:t>
      </w:r>
      <w:r>
        <w:rPr>
          <w:lang w:val="en-US"/>
        </w:rPr>
        <w:t>II</w:t>
      </w:r>
      <w:r>
        <w:t xml:space="preserve"> класса характерны низкие уровни индексов активности и хронизации по сравнению с таковыми при III, IV и V классах. </w:t>
      </w:r>
      <w:r>
        <w:rPr>
          <w:lang w:val="uk-UA"/>
        </w:rPr>
        <w:t xml:space="preserve">Для </w:t>
      </w:r>
      <w:r>
        <w:t>II</w:t>
      </w:r>
      <w:r>
        <w:rPr>
          <w:lang w:val="en-US"/>
        </w:rPr>
        <w:t>I</w:t>
      </w:r>
      <w:r>
        <w:t xml:space="preserve">, IV и V классов волчаночного гломерулонефрита характерна вариабельность индивидуальных показателей «активных» и «хронических» изменений, о чем свидетельствуют широкие колебания индексов активности (от </w:t>
      </w:r>
      <w:r>
        <w:rPr>
          <w:lang w:val="uk-UA"/>
        </w:rPr>
        <w:t>8</w:t>
      </w:r>
      <w:r>
        <w:t xml:space="preserve"> до 37 баллов, от </w:t>
      </w:r>
      <w:r>
        <w:rPr>
          <w:lang w:val="uk-UA"/>
        </w:rPr>
        <w:t>9</w:t>
      </w:r>
      <w:r>
        <w:t xml:space="preserve"> до 36 баллов и от </w:t>
      </w:r>
      <w:r>
        <w:rPr>
          <w:lang w:val="uk-UA"/>
        </w:rPr>
        <w:t>6</w:t>
      </w:r>
      <w:r>
        <w:t xml:space="preserve"> до 27 баллов соответственно), а также индексов хронизации (от 2 до 1</w:t>
      </w:r>
      <w:r>
        <w:rPr>
          <w:lang w:val="uk-UA"/>
        </w:rPr>
        <w:t>0</w:t>
      </w:r>
      <w:r>
        <w:t xml:space="preserve"> баллов, от 3 до 11 и от </w:t>
      </w:r>
      <w:r>
        <w:rPr>
          <w:lang w:val="uk-UA"/>
        </w:rPr>
        <w:t>3</w:t>
      </w:r>
      <w:r>
        <w:t xml:space="preserve"> до 13 баллов соответственно). </w:t>
      </w:r>
    </w:p>
    <w:p w:rsidR="00CC1CAF" w:rsidRDefault="00CC1CAF" w:rsidP="00CC1CAF">
      <w:pPr>
        <w:ind w:firstLine="720"/>
      </w:pPr>
      <w:r>
        <w:t xml:space="preserve">4. </w:t>
      </w:r>
      <w:proofErr w:type="gramStart"/>
      <w:r>
        <w:t xml:space="preserve">По данным мультивариантного логистического регрессионного анализа, критериями неблагоприятного течения и исхода волчаночного гломерулонефрита явились: персистирующая высокая активность системной красной волчанки, позднее начало индукционной терапии, отсутствие эффекта при ее проведении, использование в фазу индукции монотерапии глюкокортикоидами или азатиоприна в комбинации с умеренными дозами глюкокортикоидов, частые обострения волчаночного гломерулонефрита, </w:t>
      </w:r>
      <w:r>
        <w:rPr>
          <w:lang w:val="uk-UA"/>
        </w:rPr>
        <w:t xml:space="preserve">фоновые </w:t>
      </w:r>
      <w:r>
        <w:t>уровни индекса хронизации более 8 баллов, а также низкая приверженность больных к</w:t>
      </w:r>
      <w:proofErr w:type="gramEnd"/>
      <w:r>
        <w:t xml:space="preserve"> программе лечения.</w:t>
      </w:r>
    </w:p>
    <w:p w:rsidR="00CC1CAF" w:rsidRDefault="00CC1CAF" w:rsidP="00CC1CAF">
      <w:pPr>
        <w:ind w:firstLine="720"/>
      </w:pPr>
      <w:r>
        <w:lastRenderedPageBreak/>
        <w:t>5. Фоновые (то есть до проведения патогенетической терапии) клинико-лабораторные показатели системной красной волчанки в целом и волчаночного гломерулонефрита в частности (в том числе уровни индекса активности по данным нефробиопсии) не могут служить критериями отдаленного прогноза волчаночного гломерулонефрита.</w:t>
      </w:r>
    </w:p>
    <w:p w:rsidR="00CC1CAF" w:rsidRDefault="00CC1CAF" w:rsidP="00CC1CAF">
      <w:pPr>
        <w:ind w:firstLine="720"/>
      </w:pPr>
    </w:p>
    <w:p w:rsidR="00CC1CAF" w:rsidRDefault="00CC1CAF" w:rsidP="00CC1CAF">
      <w:pPr>
        <w:jc w:val="center"/>
        <w:rPr>
          <w:b/>
        </w:rPr>
      </w:pPr>
    </w:p>
    <w:p w:rsidR="00CC1CAF" w:rsidRDefault="00CC1CAF" w:rsidP="00CC1CAF">
      <w:pPr>
        <w:jc w:val="center"/>
        <w:rPr>
          <w:b/>
        </w:rPr>
      </w:pPr>
    </w:p>
    <w:p w:rsidR="00CC1CAF" w:rsidRDefault="00CC1CAF" w:rsidP="00CC1CAF">
      <w:pPr>
        <w:jc w:val="center"/>
        <w:rPr>
          <w:b/>
        </w:rPr>
      </w:pPr>
    </w:p>
    <w:p w:rsidR="00CC1CAF" w:rsidRDefault="00CC1CAF" w:rsidP="00CC1CAF">
      <w:pPr>
        <w:jc w:val="center"/>
        <w:rPr>
          <w:b/>
        </w:rPr>
      </w:pPr>
    </w:p>
    <w:p w:rsidR="00CC1CAF" w:rsidRDefault="00CC1CAF" w:rsidP="00CC1CAF">
      <w:pPr>
        <w:jc w:val="center"/>
        <w:rPr>
          <w:b/>
        </w:rPr>
      </w:pPr>
      <w:r>
        <w:rPr>
          <w:b/>
        </w:rPr>
        <w:t>ПРАКТИЧЕСКИЕ РЕКОМЕНДАЦИИ</w:t>
      </w:r>
    </w:p>
    <w:p w:rsidR="00CC1CAF" w:rsidRDefault="00CC1CAF" w:rsidP="00CC1CAF">
      <w:pPr>
        <w:jc w:val="center"/>
        <w:rPr>
          <w:b/>
        </w:rPr>
      </w:pPr>
    </w:p>
    <w:p w:rsidR="00CC1CAF" w:rsidRDefault="00CC1CAF" w:rsidP="00CC1CAF">
      <w:pPr>
        <w:jc w:val="center"/>
        <w:rPr>
          <w:b/>
        </w:rPr>
      </w:pPr>
    </w:p>
    <w:p w:rsidR="00CC1CAF" w:rsidRDefault="00CC1CAF" w:rsidP="00CC1CAF">
      <w:pPr>
        <w:tabs>
          <w:tab w:val="left" w:pos="1080"/>
        </w:tabs>
      </w:pPr>
      <w:r>
        <w:tab/>
        <w:t xml:space="preserve">На основании данных проведенного исследования для практического применения в работе ревматологических и нефрологических отделений целесообразно: </w:t>
      </w:r>
    </w:p>
    <w:p w:rsidR="00CC1CAF" w:rsidRDefault="00CC1CAF" w:rsidP="003142AD">
      <w:pPr>
        <w:numPr>
          <w:ilvl w:val="0"/>
          <w:numId w:val="61"/>
        </w:numPr>
        <w:tabs>
          <w:tab w:val="clear" w:pos="1440"/>
          <w:tab w:val="num" w:pos="0"/>
          <w:tab w:val="left" w:pos="1080"/>
        </w:tabs>
        <w:suppressAutoHyphens w:val="0"/>
        <w:spacing w:line="360" w:lineRule="auto"/>
        <w:ind w:left="0" w:firstLine="720"/>
        <w:jc w:val="both"/>
      </w:pPr>
      <w:r>
        <w:t>Всем больным системной красной волчанкой с клиническими проявлениями волчаночного гломерулонефрита (при отсутствии противопоказаний) проводить биопсию почки для определения морфологического класса волчаночного гломерулонефрита, а также характера и степени тубуло-интерстициальных изменений.</w:t>
      </w:r>
    </w:p>
    <w:p w:rsidR="00CC1CAF" w:rsidRDefault="00CC1CAF" w:rsidP="003142AD">
      <w:pPr>
        <w:numPr>
          <w:ilvl w:val="0"/>
          <w:numId w:val="61"/>
        </w:numPr>
        <w:tabs>
          <w:tab w:val="clear" w:pos="1440"/>
          <w:tab w:val="num" w:pos="0"/>
          <w:tab w:val="left" w:pos="1080"/>
        </w:tabs>
        <w:suppressAutoHyphens w:val="0"/>
        <w:spacing w:line="360" w:lineRule="auto"/>
        <w:ind w:left="0" w:firstLine="720"/>
        <w:jc w:val="both"/>
      </w:pPr>
      <w:r>
        <w:t>Морфологическое исследование почек у больных волчаночным гломерулонефритом проводить с использованием полуколичественной оценки «активных» и «хронических» («неактивных») изменений в различных почечных структурах с определением индексов активности и хронизации согласно предложенной модификации.</w:t>
      </w:r>
    </w:p>
    <w:p w:rsidR="00CC1CAF" w:rsidRDefault="00CC1CAF" w:rsidP="003142AD">
      <w:pPr>
        <w:numPr>
          <w:ilvl w:val="0"/>
          <w:numId w:val="61"/>
        </w:numPr>
        <w:tabs>
          <w:tab w:val="clear" w:pos="1440"/>
          <w:tab w:val="num" w:pos="0"/>
          <w:tab w:val="left" w:pos="1080"/>
        </w:tabs>
        <w:suppressAutoHyphens w:val="0"/>
        <w:spacing w:line="360" w:lineRule="auto"/>
        <w:ind w:left="0" w:firstLine="720"/>
        <w:jc w:val="both"/>
      </w:pPr>
      <w:proofErr w:type="gramStart"/>
      <w:r>
        <w:t xml:space="preserve">При высоких значениях исходного индекса хронизации (8 баллов и более) низка вероятность положительного эффекта индукционной патогенетической терапии волчаночного гломерулонефрита и высока – его неблагоприятного течения независимо от уровней индекса активности, устанавливаемых по данным первоначального прижизненного морфологического исследования почек. </w:t>
      </w:r>
      <w:proofErr w:type="gramEnd"/>
    </w:p>
    <w:p w:rsidR="00CC1CAF" w:rsidRDefault="00CC1CAF" w:rsidP="003142AD">
      <w:pPr>
        <w:numPr>
          <w:ilvl w:val="0"/>
          <w:numId w:val="61"/>
        </w:numPr>
        <w:tabs>
          <w:tab w:val="clear" w:pos="1440"/>
          <w:tab w:val="num" w:pos="0"/>
          <w:tab w:val="left" w:pos="1080"/>
        </w:tabs>
        <w:suppressAutoHyphens w:val="0"/>
        <w:spacing w:line="360" w:lineRule="auto"/>
        <w:ind w:left="0" w:firstLine="720"/>
        <w:jc w:val="both"/>
      </w:pPr>
      <w:r>
        <w:t xml:space="preserve">Больные II морфологическим классом </w:t>
      </w:r>
      <w:proofErr w:type="gramStart"/>
      <w:r>
        <w:t>волчаночного</w:t>
      </w:r>
      <w:proofErr w:type="gramEnd"/>
      <w:r>
        <w:t xml:space="preserve"> гломерулонефрита не нуждаются в проведении иммунодепрессивной терапии, учитывая латентное течение и благоприятный прогноз. В связи с неблагоприятным прогнозом больные IIІ, IV и V классов нуждаются в проведении индукционной терапии с использованием циклофосфана со средними дозами глюкокортикоидов. Учитывая низкую эффективность монотерапии глюкокортикоидами и  азатиоприна со средними дозами глюкокортикоидов, такие лечебные режимы не следует использовать как индукционную терапию у больных IIІ, IV и V морфологическими классами.</w:t>
      </w:r>
    </w:p>
    <w:p w:rsidR="00CC1CAF" w:rsidRDefault="00CC1CAF" w:rsidP="003142AD">
      <w:pPr>
        <w:numPr>
          <w:ilvl w:val="0"/>
          <w:numId w:val="61"/>
        </w:numPr>
        <w:tabs>
          <w:tab w:val="clear" w:pos="1440"/>
          <w:tab w:val="num" w:pos="0"/>
          <w:tab w:val="left" w:pos="1080"/>
        </w:tabs>
        <w:suppressAutoHyphens w:val="0"/>
        <w:spacing w:line="360" w:lineRule="auto"/>
        <w:ind w:left="0" w:firstLine="720"/>
        <w:jc w:val="both"/>
      </w:pPr>
      <w:proofErr w:type="gramStart"/>
      <w:r>
        <w:t>Все больные волчаночным гломерулонефритом нуждаются в постоянном наблюдении ревматологов, нефрологов и терапевтов с проведением регулярных исследований мочи, артериального давления, креатинина сыворотки крови и скорости клубочковой фильтрации (независимо от достигнутой клинической ремиссии или персистенции системной красной волчанки) для своевременного выявления обострений и проведения при этом адекватной патогенетической терапии.</w:t>
      </w:r>
      <w:proofErr w:type="gramEnd"/>
    </w:p>
    <w:p w:rsidR="00CC1CAF" w:rsidRDefault="00CC1CAF" w:rsidP="00CC1CAF">
      <w:pPr>
        <w:jc w:val="center"/>
        <w:rPr>
          <w:b/>
          <w:lang w:val="uk-UA"/>
        </w:rPr>
      </w:pPr>
      <w:r>
        <w:rPr>
          <w:b/>
        </w:rPr>
        <w:lastRenderedPageBreak/>
        <w:t>СПИСОК ЛИТЕРАТУРЫ</w:t>
      </w:r>
      <w:r>
        <w:rPr>
          <w:b/>
          <w:lang w:val="uk-UA"/>
        </w:rPr>
        <w:t xml:space="preserve"> </w:t>
      </w:r>
    </w:p>
    <w:p w:rsidR="00CC1CAF" w:rsidRDefault="00CC1CAF" w:rsidP="00CC1CAF">
      <w:pPr>
        <w:jc w:val="center"/>
        <w:rPr>
          <w:lang w:val="en-US"/>
        </w:rPr>
      </w:pPr>
    </w:p>
    <w:p w:rsidR="00CC1CAF" w:rsidRDefault="00CC1CAF" w:rsidP="00CC1CAF">
      <w:pPr>
        <w:jc w:val="center"/>
        <w:rPr>
          <w:lang w:val="en-US"/>
        </w:rPr>
      </w:pPr>
    </w:p>
    <w:p w:rsidR="00CC1CAF" w:rsidRDefault="00CC1CAF" w:rsidP="003142AD">
      <w:pPr>
        <w:numPr>
          <w:ilvl w:val="0"/>
          <w:numId w:val="62"/>
        </w:numPr>
        <w:suppressAutoHyphens w:val="0"/>
        <w:spacing w:line="360" w:lineRule="auto"/>
        <w:ind w:left="360"/>
        <w:jc w:val="both"/>
      </w:pPr>
      <w:r>
        <w:rPr>
          <w:lang w:val="uk-UA"/>
        </w:rPr>
        <w:t xml:space="preserve">Аликберова З.С. </w:t>
      </w:r>
      <w:r>
        <w:t xml:space="preserve">Особенности системной красной волчанки с поздним началом / З.С. </w:t>
      </w:r>
      <w:r>
        <w:rPr>
          <w:lang w:val="uk-UA"/>
        </w:rPr>
        <w:t>Аликберова, А.С.Кара</w:t>
      </w:r>
      <w:r>
        <w:t>ва</w:t>
      </w:r>
      <w:r>
        <w:rPr>
          <w:lang w:val="uk-UA"/>
        </w:rPr>
        <w:t xml:space="preserve">ева // Клиническая геронтология. – 2002. </w:t>
      </w:r>
      <w:r>
        <w:t xml:space="preserve">– </w:t>
      </w:r>
      <w:r>
        <w:rPr>
          <w:lang w:val="uk-UA"/>
        </w:rPr>
        <w:t xml:space="preserve">Т. 6, </w:t>
      </w:r>
      <w:r>
        <w:t xml:space="preserve">№  </w:t>
      </w:r>
      <w:r>
        <w:rPr>
          <w:lang w:val="uk-UA"/>
        </w:rPr>
        <w:t>9-10</w:t>
      </w:r>
      <w:r>
        <w:t xml:space="preserve">. – С. </w:t>
      </w:r>
      <w:r>
        <w:rPr>
          <w:lang w:val="uk-UA"/>
        </w:rPr>
        <w:t>4</w:t>
      </w:r>
      <w:r>
        <w:t>4-</w:t>
      </w:r>
      <w:r>
        <w:rPr>
          <w:lang w:val="uk-UA"/>
        </w:rPr>
        <w:t>49.</w:t>
      </w:r>
    </w:p>
    <w:p w:rsidR="00CC1CAF" w:rsidRDefault="00CC1CAF" w:rsidP="003142AD">
      <w:pPr>
        <w:numPr>
          <w:ilvl w:val="0"/>
          <w:numId w:val="62"/>
        </w:numPr>
        <w:suppressAutoHyphens w:val="0"/>
        <w:spacing w:line="360" w:lineRule="auto"/>
        <w:ind w:left="360"/>
        <w:jc w:val="both"/>
      </w:pPr>
      <w:r>
        <w:t>Аликберова З.С. Системная красная волчанка: начало у лиц в возрасте старше 45 лет / З.С. Аликберова, А.С. Караваева, Н.П. Кошелева // Клиническая геронтология. – 2002. – № 3. – С. 16-21.</w:t>
      </w:r>
    </w:p>
    <w:p w:rsidR="00CC1CAF" w:rsidRDefault="00CC1CAF" w:rsidP="003142AD">
      <w:pPr>
        <w:numPr>
          <w:ilvl w:val="0"/>
          <w:numId w:val="62"/>
        </w:numPr>
        <w:suppressAutoHyphens w:val="0"/>
        <w:spacing w:line="360" w:lineRule="auto"/>
        <w:ind w:left="360"/>
        <w:jc w:val="both"/>
      </w:pPr>
      <w:r>
        <w:t>Бенца Т. Системная красная волчанка: современные представления / Т. Бенца  // Л</w:t>
      </w:r>
      <w:r>
        <w:rPr>
          <w:lang w:val="uk-UA"/>
        </w:rPr>
        <w:t>іки України</w:t>
      </w:r>
      <w:r>
        <w:t>. – 2005. – № 12. – С. 18-22</w:t>
      </w:r>
    </w:p>
    <w:p w:rsidR="00CC1CAF" w:rsidRDefault="00CC1CAF" w:rsidP="003142AD">
      <w:pPr>
        <w:numPr>
          <w:ilvl w:val="0"/>
          <w:numId w:val="62"/>
        </w:numPr>
        <w:suppressAutoHyphens w:val="0"/>
        <w:spacing w:line="360" w:lineRule="auto"/>
        <w:ind w:left="360"/>
        <w:jc w:val="both"/>
      </w:pPr>
      <w:r>
        <w:t>Василенко И.В. Морфогенез пролиферативных и непролиферативных форм волчаночного гломерулонефрита / И.В.Василенко, Е.А. Дядык // Буков</w:t>
      </w:r>
      <w:proofErr w:type="gramStart"/>
      <w:r>
        <w:t>.</w:t>
      </w:r>
      <w:proofErr w:type="gramEnd"/>
      <w:r>
        <w:t xml:space="preserve"> </w:t>
      </w:r>
      <w:proofErr w:type="gramStart"/>
      <w:r>
        <w:t>м</w:t>
      </w:r>
      <w:proofErr w:type="gramEnd"/>
      <w:r>
        <w:t>ед. вісник. – 2001. – Т. 5, № 1-2. – С. 204-206.</w:t>
      </w:r>
    </w:p>
    <w:p w:rsidR="00CC1CAF" w:rsidRDefault="00CC1CAF" w:rsidP="003142AD">
      <w:pPr>
        <w:numPr>
          <w:ilvl w:val="0"/>
          <w:numId w:val="62"/>
        </w:numPr>
        <w:suppressAutoHyphens w:val="0"/>
        <w:spacing w:line="360" w:lineRule="auto"/>
        <w:ind w:left="360"/>
        <w:jc w:val="both"/>
      </w:pPr>
      <w:r>
        <w:rPr>
          <w:lang w:val="uk-UA"/>
        </w:rPr>
        <w:t xml:space="preserve">Волкова С.Ю. </w:t>
      </w:r>
      <w:r>
        <w:t>Системная красная волчанка и сепсис /</w:t>
      </w:r>
      <w:r>
        <w:rPr>
          <w:lang w:val="uk-UA"/>
        </w:rPr>
        <w:t xml:space="preserve"> С.Ю. Волкова, Г.Р. Фадиенко, И.В. Медведева </w:t>
      </w:r>
      <w:r>
        <w:t>// Клиническая медицина. – 2002. – Т. 80, №  7. – С. 54-</w:t>
      </w:r>
      <w:r>
        <w:rPr>
          <w:lang w:val="uk-UA"/>
        </w:rPr>
        <w:t>59.</w:t>
      </w:r>
    </w:p>
    <w:p w:rsidR="00CC1CAF" w:rsidRDefault="00CC1CAF" w:rsidP="003142AD">
      <w:pPr>
        <w:numPr>
          <w:ilvl w:val="0"/>
          <w:numId w:val="62"/>
        </w:numPr>
        <w:suppressAutoHyphens w:val="0"/>
        <w:spacing w:line="360" w:lineRule="auto"/>
        <w:ind w:left="360"/>
        <w:jc w:val="both"/>
      </w:pPr>
      <w:r>
        <w:rPr>
          <w:lang w:val="uk-UA"/>
        </w:rPr>
        <w:t xml:space="preserve">Гломерулонефрит / </w:t>
      </w:r>
      <w:r>
        <w:t>[</w:t>
      </w:r>
      <w:r>
        <w:rPr>
          <w:lang w:val="uk-UA"/>
        </w:rPr>
        <w:t xml:space="preserve">Дядык А.И., Василенко И.В.,  Багрий А.Э. </w:t>
      </w:r>
      <w:r>
        <w:t xml:space="preserve"> </w:t>
      </w:r>
      <w:r>
        <w:rPr>
          <w:lang w:val="uk-UA"/>
        </w:rPr>
        <w:t>и др.</w:t>
      </w:r>
      <w:r>
        <w:t xml:space="preserve">]; </w:t>
      </w:r>
      <w:r>
        <w:rPr>
          <w:lang w:val="uk-UA"/>
        </w:rPr>
        <w:t>под ред. А.И.Дядыка. – К.: Здоров</w:t>
      </w:r>
      <w:r>
        <w:t>’</w:t>
      </w:r>
      <w:r>
        <w:rPr>
          <w:lang w:val="uk-UA"/>
        </w:rPr>
        <w:t>я, 199</w:t>
      </w:r>
      <w:r>
        <w:t>1</w:t>
      </w:r>
      <w:r>
        <w:rPr>
          <w:lang w:val="uk-UA"/>
        </w:rPr>
        <w:t xml:space="preserve">. – </w:t>
      </w:r>
      <w:r>
        <w:t xml:space="preserve">248 </w:t>
      </w:r>
      <w:r>
        <w:rPr>
          <w:lang w:val="en-US"/>
        </w:rPr>
        <w:t>c</w:t>
      </w:r>
      <w:r>
        <w:t>.</w:t>
      </w:r>
    </w:p>
    <w:p w:rsidR="00CC1CAF" w:rsidRDefault="00CC1CAF" w:rsidP="003142AD">
      <w:pPr>
        <w:numPr>
          <w:ilvl w:val="0"/>
          <w:numId w:val="62"/>
        </w:numPr>
        <w:suppressAutoHyphens w:val="0"/>
        <w:spacing w:line="360" w:lineRule="auto"/>
        <w:ind w:left="360"/>
        <w:jc w:val="both"/>
      </w:pPr>
      <w:r>
        <w:t>Дядык А.И. Системная красная волчанка: современное состояние проблемы / А.И. Дядык // Укр. ревматологічний журнал. – 2002. – № 1. – С. 23-29.</w:t>
      </w:r>
    </w:p>
    <w:p w:rsidR="00CC1CAF" w:rsidRDefault="00CC1CAF" w:rsidP="003142AD">
      <w:pPr>
        <w:numPr>
          <w:ilvl w:val="0"/>
          <w:numId w:val="62"/>
        </w:numPr>
        <w:suppressAutoHyphens w:val="0"/>
        <w:spacing w:line="360" w:lineRule="auto"/>
        <w:ind w:left="360"/>
        <w:jc w:val="both"/>
      </w:pPr>
      <w:r>
        <w:t>Дядык А.И. Системная красная волчанка / А.И. Дядык, А.Э. Багрий. – Донецк: КП «Регион», 2003. –  463 с.</w:t>
      </w:r>
    </w:p>
    <w:p w:rsidR="00CC1CAF" w:rsidRDefault="00CC1CAF" w:rsidP="003142AD">
      <w:pPr>
        <w:numPr>
          <w:ilvl w:val="0"/>
          <w:numId w:val="62"/>
        </w:numPr>
        <w:suppressAutoHyphens w:val="0"/>
        <w:spacing w:line="360" w:lineRule="auto"/>
        <w:ind w:left="360"/>
        <w:jc w:val="both"/>
      </w:pPr>
      <w:r>
        <w:t>Дядык Е.А. Особенности тубуло</w:t>
      </w:r>
      <w:r>
        <w:rPr>
          <w:lang w:val="uk-UA"/>
        </w:rPr>
        <w:t>-</w:t>
      </w:r>
      <w:r>
        <w:t>интерстициального аппарата при различных морфологических классах волчаночного гломерулонефрита / Е.А. Дядык // Вестник неотложной и восстановительной медицины. – 2004. – Т. 5, № 2. – С. 318-321.</w:t>
      </w:r>
    </w:p>
    <w:p w:rsidR="00CC1CAF" w:rsidRDefault="00CC1CAF" w:rsidP="003142AD">
      <w:pPr>
        <w:numPr>
          <w:ilvl w:val="0"/>
          <w:numId w:val="62"/>
        </w:numPr>
        <w:suppressAutoHyphens w:val="0"/>
        <w:spacing w:line="360" w:lineRule="auto"/>
        <w:ind w:left="360"/>
        <w:jc w:val="both"/>
      </w:pPr>
      <w:r>
        <w:t xml:space="preserve">Дядык Е.А. Характер гломерулярных поражений при различных морфологических формах </w:t>
      </w:r>
      <w:proofErr w:type="gramStart"/>
      <w:r>
        <w:t>волчаночного</w:t>
      </w:r>
      <w:proofErr w:type="gramEnd"/>
      <w:r>
        <w:t xml:space="preserve"> гломерулонефрита / Е.А. Дядык // Вестник неотложной  и восстановительной </w:t>
      </w:r>
      <w:r>
        <w:rPr>
          <w:lang w:val="uk-UA"/>
        </w:rPr>
        <w:t>ме</w:t>
      </w:r>
      <w:r>
        <w:t>дицины. – 2004. – Т. 5, № 1. – С. 116-119.</w:t>
      </w:r>
    </w:p>
    <w:p w:rsidR="00CC1CAF" w:rsidRDefault="00CC1CAF" w:rsidP="003142AD">
      <w:pPr>
        <w:numPr>
          <w:ilvl w:val="0"/>
          <w:numId w:val="62"/>
        </w:numPr>
        <w:suppressAutoHyphens w:val="0"/>
        <w:spacing w:line="360" w:lineRule="auto"/>
        <w:ind w:left="360"/>
        <w:jc w:val="both"/>
        <w:rPr>
          <w:lang w:val="uk-UA"/>
        </w:rPr>
      </w:pPr>
      <w:r>
        <w:rPr>
          <w:lang w:val="uk-UA"/>
        </w:rPr>
        <w:t>Захарова Е.В. Волчаночный гломерулонефрит: клиника, морфология, прогноз / Е.В. Захарова // Нефрология и диализ. – 2006. – Т. 5, № 2. – С. 116-122.</w:t>
      </w:r>
    </w:p>
    <w:p w:rsidR="00CC1CAF" w:rsidRDefault="00CC1CAF" w:rsidP="003142AD">
      <w:pPr>
        <w:numPr>
          <w:ilvl w:val="0"/>
          <w:numId w:val="62"/>
        </w:numPr>
        <w:suppressAutoHyphens w:val="0"/>
        <w:spacing w:line="360" w:lineRule="auto"/>
        <w:ind w:left="360"/>
        <w:jc w:val="both"/>
      </w:pPr>
      <w:r>
        <w:t>Захарова Е.В. Особенности течения и прогностические факторы неблагоприятных исходов системной красной волчанки и системных васкулитов с поражением почек / Е.В. Захарова, Е.И.Ипатьева, Е.И.Тареева</w:t>
      </w:r>
      <w:r>
        <w:rPr>
          <w:lang w:val="uk-UA"/>
        </w:rPr>
        <w:t xml:space="preserve"> </w:t>
      </w:r>
      <w:r>
        <w:t>// Нефрология и диализ. – 2006. – Т. 8, № 2. – С. 128-140.</w:t>
      </w:r>
    </w:p>
    <w:p w:rsidR="00CC1CAF" w:rsidRDefault="00CC1CAF" w:rsidP="003142AD">
      <w:pPr>
        <w:numPr>
          <w:ilvl w:val="0"/>
          <w:numId w:val="62"/>
        </w:numPr>
        <w:suppressAutoHyphens w:val="0"/>
        <w:spacing w:line="360" w:lineRule="auto"/>
        <w:ind w:left="360"/>
        <w:jc w:val="both"/>
      </w:pPr>
      <w:r>
        <w:t>Иванова М.М. Диффузные болезни соединительной ткани и другие системные воспалительные заболевания соединительной ткани</w:t>
      </w:r>
      <w:r>
        <w:rPr>
          <w:lang w:val="uk-UA"/>
        </w:rPr>
        <w:t xml:space="preserve"> </w:t>
      </w:r>
      <w:r>
        <w:t>/ М.М. Иванова  // Ревматические болезни / [Под ред. В.А. Насоновой, Н.В. Бунчука]. – М.: Медицина, 1997. – Гл 7. – С. 160-225.</w:t>
      </w:r>
    </w:p>
    <w:p w:rsidR="00CC1CAF" w:rsidRDefault="00CC1CAF" w:rsidP="003142AD">
      <w:pPr>
        <w:numPr>
          <w:ilvl w:val="0"/>
          <w:numId w:val="62"/>
        </w:numPr>
        <w:suppressAutoHyphens w:val="0"/>
        <w:spacing w:line="360" w:lineRule="auto"/>
        <w:ind w:left="360"/>
        <w:jc w:val="both"/>
      </w:pPr>
      <w:r>
        <w:lastRenderedPageBreak/>
        <w:t>Иванова М.М. Системная красная волчанка в клинической практике / М.М. Иванова // Рос</w:t>
      </w:r>
      <w:proofErr w:type="gramStart"/>
      <w:r>
        <w:t>.</w:t>
      </w:r>
      <w:proofErr w:type="gramEnd"/>
      <w:r>
        <w:t xml:space="preserve"> </w:t>
      </w:r>
      <w:proofErr w:type="gramStart"/>
      <w:r>
        <w:t>ж</w:t>
      </w:r>
      <w:proofErr w:type="gramEnd"/>
      <w:r>
        <w:t>урн. кожных и  венерических болезней. – 2000. – № 2. – С. 38-50.</w:t>
      </w:r>
    </w:p>
    <w:p w:rsidR="00CC1CAF" w:rsidRDefault="00CC1CAF" w:rsidP="003142AD">
      <w:pPr>
        <w:numPr>
          <w:ilvl w:val="0"/>
          <w:numId w:val="62"/>
        </w:numPr>
        <w:suppressAutoHyphens w:val="0"/>
        <w:spacing w:line="360" w:lineRule="auto"/>
        <w:ind w:left="360"/>
        <w:jc w:val="both"/>
      </w:pPr>
      <w:r>
        <w:t>Иванова М.М. Основные методы и индивидуализированные программы лечения больных системной красной волчанкой / М.М. Иванова, Д.О. Парагеев, О.Л. Лучихина // Клиническая медицина. – 2000. – Т. 78,  № 5. – С. 45-49.</w:t>
      </w:r>
    </w:p>
    <w:p w:rsidR="00CC1CAF" w:rsidRDefault="00CC1CAF" w:rsidP="003142AD">
      <w:pPr>
        <w:numPr>
          <w:ilvl w:val="0"/>
          <w:numId w:val="62"/>
        </w:numPr>
        <w:suppressAutoHyphens w:val="0"/>
        <w:spacing w:line="360" w:lineRule="auto"/>
        <w:ind w:left="360"/>
        <w:jc w:val="both"/>
      </w:pPr>
      <w:r>
        <w:t>Иванова С.М. Аутоиммунные нарушения, интерлейкины 10, 4, 6 и фактор некроза опухоли у больных системной красной волчанкой / С.М. Иванова, Н.Н. Вейко, Т.А. Рязанцева // Клиническая лабораторная диагностика. – 2004. – № 3. – С. 35-40.</w:t>
      </w:r>
    </w:p>
    <w:p w:rsidR="00CC1CAF" w:rsidRDefault="00CC1CAF" w:rsidP="003142AD">
      <w:pPr>
        <w:numPr>
          <w:ilvl w:val="0"/>
          <w:numId w:val="62"/>
        </w:numPr>
        <w:suppressAutoHyphens w:val="0"/>
        <w:spacing w:line="360" w:lineRule="auto"/>
        <w:ind w:left="360"/>
        <w:jc w:val="both"/>
        <w:rPr>
          <w:lang w:val="uk-UA"/>
        </w:rPr>
      </w:pPr>
      <w:r>
        <w:rPr>
          <w:lang w:val="uk-UA"/>
        </w:rPr>
        <w:t xml:space="preserve">Класифікація хвороб сечової системи для нефрологічної практики  (Резолюція </w:t>
      </w:r>
      <w:r>
        <w:rPr>
          <w:lang w:val="en-US"/>
        </w:rPr>
        <w:t>II</w:t>
      </w:r>
      <w:r>
        <w:rPr>
          <w:lang w:val="uk-UA"/>
        </w:rPr>
        <w:t xml:space="preserve"> з’їзду нефрологів України) // Український журнал нефрології та діалізу.-2005.-№ 4 (7).-С. 2-6.</w:t>
      </w:r>
    </w:p>
    <w:p w:rsidR="00CC1CAF" w:rsidRDefault="00CC1CAF" w:rsidP="003142AD">
      <w:pPr>
        <w:numPr>
          <w:ilvl w:val="0"/>
          <w:numId w:val="62"/>
        </w:numPr>
        <w:suppressAutoHyphens w:val="0"/>
        <w:spacing w:line="360" w:lineRule="auto"/>
        <w:ind w:left="360"/>
        <w:jc w:val="both"/>
      </w:pPr>
      <w:r>
        <w:rPr>
          <w:lang w:val="uk-UA"/>
        </w:rPr>
        <w:t xml:space="preserve">Клінічна нефрологія / </w:t>
      </w:r>
      <w:r>
        <w:t>[</w:t>
      </w:r>
      <w:r>
        <w:rPr>
          <w:lang w:val="uk-UA"/>
        </w:rPr>
        <w:t>ред. Л.А. Пиріг</w:t>
      </w:r>
      <w:r>
        <w:t>]</w:t>
      </w:r>
      <w:r>
        <w:rPr>
          <w:lang w:val="uk-UA"/>
        </w:rPr>
        <w:t>. – К.: Здоров</w:t>
      </w:r>
      <w:r>
        <w:t>’</w:t>
      </w:r>
      <w:r>
        <w:rPr>
          <w:lang w:val="uk-UA"/>
        </w:rPr>
        <w:t>я, 2004. – 528 с.</w:t>
      </w:r>
    </w:p>
    <w:p w:rsidR="00CC1CAF" w:rsidRDefault="00CC1CAF" w:rsidP="003142AD">
      <w:pPr>
        <w:numPr>
          <w:ilvl w:val="0"/>
          <w:numId w:val="62"/>
        </w:numPr>
        <w:suppressAutoHyphens w:val="0"/>
        <w:spacing w:line="360" w:lineRule="auto"/>
        <w:ind w:left="360"/>
        <w:jc w:val="both"/>
      </w:pPr>
      <w:r>
        <w:rPr>
          <w:lang w:val="uk-UA"/>
        </w:rPr>
        <w:t xml:space="preserve">Коваленко В.Н. </w:t>
      </w:r>
      <w:r>
        <w:t>Ревматические болезни: номенклатура, классификация, стандарты диагностики и лечени</w:t>
      </w:r>
      <w:r>
        <w:rPr>
          <w:lang w:val="uk-UA"/>
        </w:rPr>
        <w:t>я / В.Н. Коваленко, Н.М.Шуба</w:t>
      </w:r>
      <w:r>
        <w:t>. – К.: «Катран груп», 2002. – 214 с.</w:t>
      </w:r>
    </w:p>
    <w:p w:rsidR="00CC1CAF" w:rsidRDefault="00CC1CAF" w:rsidP="003142AD">
      <w:pPr>
        <w:numPr>
          <w:ilvl w:val="0"/>
          <w:numId w:val="62"/>
        </w:numPr>
        <w:suppressAutoHyphens w:val="0"/>
        <w:spacing w:line="360" w:lineRule="auto"/>
        <w:ind w:left="360"/>
        <w:jc w:val="both"/>
      </w:pPr>
      <w:r>
        <w:t xml:space="preserve">Колесник М.О. Люпус-нефрит: патоморфоз, критерії прогнозу, сучасні </w:t>
      </w:r>
      <w:proofErr w:type="gramStart"/>
      <w:r>
        <w:t>п</w:t>
      </w:r>
      <w:proofErr w:type="gramEnd"/>
      <w:r>
        <w:t xml:space="preserve">ідходи до діагностики та лікування </w:t>
      </w:r>
      <w:r>
        <w:rPr>
          <w:lang w:val="uk-UA"/>
        </w:rPr>
        <w:t>/</w:t>
      </w:r>
      <w:r>
        <w:t xml:space="preserve"> М.О. Колесник, Т.Є.Журило, І.І. Лапчинська // Укр. ревматологічний журнал. – 2001. – № 2(4). – С. 7-11.</w:t>
      </w:r>
    </w:p>
    <w:p w:rsidR="00CC1CAF" w:rsidRDefault="00CC1CAF" w:rsidP="003142AD">
      <w:pPr>
        <w:numPr>
          <w:ilvl w:val="0"/>
          <w:numId w:val="62"/>
        </w:numPr>
        <w:suppressAutoHyphens w:val="0"/>
        <w:spacing w:line="360" w:lineRule="auto"/>
        <w:ind w:left="360"/>
        <w:jc w:val="both"/>
      </w:pPr>
      <w:r>
        <w:t>Коровкина Е.С. Анализ взаимозависимости уровней антител к ДНК и другими аутоантигенами с биохимическими и клиническими показателями больных системной красной волчанкой / Е.С. Коровкина, Е.В.Зонова, В.А.Бунева // Аллерг</w:t>
      </w:r>
      <w:r>
        <w:rPr>
          <w:lang w:val="uk-UA"/>
        </w:rPr>
        <w:t xml:space="preserve">ология и </w:t>
      </w:r>
      <w:r>
        <w:t xml:space="preserve"> иммунология. – 2006. – Т. 7, № 4. – С. 498-507.</w:t>
      </w:r>
    </w:p>
    <w:p w:rsidR="00CC1CAF" w:rsidRDefault="00CC1CAF" w:rsidP="003142AD">
      <w:pPr>
        <w:numPr>
          <w:ilvl w:val="0"/>
          <w:numId w:val="62"/>
        </w:numPr>
        <w:suppressAutoHyphens w:val="0"/>
        <w:spacing w:line="360" w:lineRule="auto"/>
        <w:ind w:left="360"/>
        <w:jc w:val="both"/>
      </w:pPr>
      <w:r>
        <w:rPr>
          <w:lang w:val="uk-UA"/>
        </w:rPr>
        <w:t xml:space="preserve">Лікування системного червоного вовчака і його життево-небезпечних ускладнень (редакційна стаття) // Мистецтво лікування. – 2004. </w:t>
      </w:r>
      <w:r>
        <w:t xml:space="preserve">– № </w:t>
      </w:r>
      <w:r>
        <w:rPr>
          <w:lang w:val="uk-UA"/>
        </w:rPr>
        <w:t>9</w:t>
      </w:r>
      <w:r>
        <w:t>. – С. 2</w:t>
      </w:r>
      <w:r>
        <w:rPr>
          <w:lang w:val="uk-UA"/>
        </w:rPr>
        <w:t>5</w:t>
      </w:r>
      <w:r>
        <w:t>-2</w:t>
      </w:r>
      <w:r>
        <w:rPr>
          <w:lang w:val="uk-UA"/>
        </w:rPr>
        <w:t>7</w:t>
      </w:r>
      <w:r>
        <w:t>.</w:t>
      </w:r>
    </w:p>
    <w:p w:rsidR="00CC1CAF" w:rsidRDefault="00CC1CAF" w:rsidP="003142AD">
      <w:pPr>
        <w:numPr>
          <w:ilvl w:val="0"/>
          <w:numId w:val="62"/>
        </w:numPr>
        <w:suppressAutoHyphens w:val="0"/>
        <w:spacing w:line="360" w:lineRule="auto"/>
        <w:ind w:left="360"/>
        <w:jc w:val="both"/>
      </w:pPr>
      <w:r>
        <w:t xml:space="preserve">Лях Ю.Е. Основы компьютерной биостатистики: анализ информации в биологии, медицине и фармации статистическим пакетом </w:t>
      </w:r>
      <w:r>
        <w:rPr>
          <w:lang w:val="en-US"/>
        </w:rPr>
        <w:t>MedStat</w:t>
      </w:r>
      <w:r>
        <w:t xml:space="preserve"> / Лях Ю.Е., Гурьянов В.Г., Хоменко В.Н. – Донецк: Папакица Е.К., 2006. – 214 с.</w:t>
      </w:r>
    </w:p>
    <w:p w:rsidR="00CC1CAF" w:rsidRDefault="00CC1CAF" w:rsidP="003142AD">
      <w:pPr>
        <w:numPr>
          <w:ilvl w:val="0"/>
          <w:numId w:val="62"/>
        </w:numPr>
        <w:suppressAutoHyphens w:val="0"/>
        <w:spacing w:line="360" w:lineRule="auto"/>
        <w:ind w:left="360"/>
        <w:jc w:val="both"/>
      </w:pPr>
      <w:r>
        <w:t>Москалева Е.С. Атипичное течение нефрита как моносиндром системной красной волчанки / Москалева Е.С., Ахмедова З.А., Невструева  Е.С. // Рос</w:t>
      </w:r>
      <w:proofErr w:type="gramStart"/>
      <w:r>
        <w:t>.</w:t>
      </w:r>
      <w:proofErr w:type="gramEnd"/>
      <w:r>
        <w:t xml:space="preserve"> </w:t>
      </w:r>
      <w:proofErr w:type="gramStart"/>
      <w:r>
        <w:t>в</w:t>
      </w:r>
      <w:proofErr w:type="gramEnd"/>
      <w:r>
        <w:t>естник перинатологии и  педиатрии. – 2001. – № 4. – С. 29-32.</w:t>
      </w:r>
    </w:p>
    <w:p w:rsidR="00CC1CAF" w:rsidRDefault="00CC1CAF" w:rsidP="003142AD">
      <w:pPr>
        <w:numPr>
          <w:ilvl w:val="0"/>
          <w:numId w:val="62"/>
        </w:numPr>
        <w:suppressAutoHyphens w:val="0"/>
        <w:spacing w:line="360" w:lineRule="auto"/>
        <w:ind w:left="360"/>
        <w:jc w:val="both"/>
      </w:pPr>
      <w:r>
        <w:t>Насонова В.А.</w:t>
      </w:r>
      <w:r>
        <w:rPr>
          <w:lang w:val="uk-UA"/>
        </w:rPr>
        <w:t xml:space="preserve"> </w:t>
      </w:r>
      <w:r>
        <w:t>Адекватность терапии и сотрудничество врача и больного – два неотъемлемых компонента благополучного исхода системной красной волчанки / В. Насонова, Т. Решетняк, С. Раденска-Папавок // Врач. – 2005. – № 8. – С. 13-19.</w:t>
      </w:r>
    </w:p>
    <w:p w:rsidR="00CC1CAF" w:rsidRDefault="00CC1CAF" w:rsidP="003142AD">
      <w:pPr>
        <w:numPr>
          <w:ilvl w:val="0"/>
          <w:numId w:val="62"/>
        </w:numPr>
        <w:suppressAutoHyphens w:val="0"/>
        <w:spacing w:line="360" w:lineRule="auto"/>
        <w:ind w:left="360"/>
        <w:jc w:val="both"/>
      </w:pPr>
      <w:r>
        <w:t xml:space="preserve">Непомнящий В.Н. Патоморфология </w:t>
      </w:r>
      <w:proofErr w:type="gramStart"/>
      <w:r>
        <w:t>люпус-нефрита</w:t>
      </w:r>
      <w:proofErr w:type="gramEnd"/>
      <w:r>
        <w:t xml:space="preserve"> / В.Н. Непомнящий // Укр</w:t>
      </w:r>
      <w:r>
        <w:rPr>
          <w:lang w:val="uk-UA"/>
        </w:rPr>
        <w:t>аїнський</w:t>
      </w:r>
      <w:r>
        <w:t xml:space="preserve"> журн</w:t>
      </w:r>
      <w:r>
        <w:rPr>
          <w:lang w:val="uk-UA"/>
        </w:rPr>
        <w:t>ал</w:t>
      </w:r>
      <w:r>
        <w:t xml:space="preserve"> </w:t>
      </w:r>
      <w:r>
        <w:rPr>
          <w:lang w:val="uk-UA"/>
        </w:rPr>
        <w:t>н</w:t>
      </w:r>
      <w:r>
        <w:t>ефрол</w:t>
      </w:r>
      <w:r>
        <w:rPr>
          <w:lang w:val="uk-UA"/>
        </w:rPr>
        <w:t>огії та діалізу.</w:t>
      </w:r>
      <w:r>
        <w:t xml:space="preserve"> – 2007. - № 3 (15). – С. 49-59.</w:t>
      </w:r>
    </w:p>
    <w:p w:rsidR="00CC1CAF" w:rsidRDefault="00CC1CAF" w:rsidP="003142AD">
      <w:pPr>
        <w:numPr>
          <w:ilvl w:val="0"/>
          <w:numId w:val="62"/>
        </w:numPr>
        <w:suppressAutoHyphens w:val="0"/>
        <w:spacing w:line="360" w:lineRule="auto"/>
        <w:ind w:left="360"/>
        <w:jc w:val="both"/>
        <w:rPr>
          <w:lang w:val="uk-UA"/>
        </w:rPr>
      </w:pPr>
      <w:r>
        <w:t xml:space="preserve">Пат. </w:t>
      </w:r>
      <w:r>
        <w:rPr>
          <w:lang w:val="uk-UA"/>
        </w:rPr>
        <w:t xml:space="preserve">№ </w:t>
      </w:r>
      <w:r>
        <w:t xml:space="preserve">8947 </w:t>
      </w:r>
      <w:r>
        <w:rPr>
          <w:lang w:val="en-US"/>
        </w:rPr>
        <w:t>UA</w:t>
      </w:r>
      <w:r>
        <w:t>, МК</w:t>
      </w:r>
      <w:r>
        <w:rPr>
          <w:lang w:val="en-US"/>
        </w:rPr>
        <w:t>B</w:t>
      </w:r>
      <w:proofErr w:type="gramStart"/>
      <w:r>
        <w:t xml:space="preserve"> А</w:t>
      </w:r>
      <w:proofErr w:type="gramEnd"/>
      <w:r>
        <w:t xml:space="preserve"> 61 В 8/12. Спосіб прогнозування характеру перебігу гломерулонефриту у хворих на системний червоний вовчак. Дядик О.О., Ракитська І. В., Лях Ю. </w:t>
      </w:r>
      <w:r>
        <w:rPr>
          <w:lang w:val="uk-UA"/>
        </w:rPr>
        <w:lastRenderedPageBreak/>
        <w:t>Є</w:t>
      </w:r>
      <w:r>
        <w:t>.</w:t>
      </w:r>
      <w:r>
        <w:rPr>
          <w:lang w:val="uk-UA"/>
        </w:rPr>
        <w:t>, Гур</w:t>
      </w:r>
      <w:r>
        <w:t>’</w:t>
      </w:r>
      <w:r>
        <w:rPr>
          <w:lang w:val="uk-UA"/>
        </w:rPr>
        <w:t>янов В.Г., Хедхілі В.; Дон. ДМУ;</w:t>
      </w:r>
      <w:r>
        <w:t xml:space="preserve"> № </w:t>
      </w:r>
      <w:r>
        <w:rPr>
          <w:lang w:val="en-US"/>
        </w:rPr>
        <w:t>u</w:t>
      </w:r>
      <w:r>
        <w:t>200504619; заявл. 17.05.05; опубл. 15.08.05, Бюл. № 8</w:t>
      </w:r>
      <w:r>
        <w:rPr>
          <w:lang w:val="uk-UA"/>
        </w:rPr>
        <w:t>.</w:t>
      </w:r>
    </w:p>
    <w:p w:rsidR="00CC1CAF" w:rsidRDefault="00CC1CAF" w:rsidP="003142AD">
      <w:pPr>
        <w:numPr>
          <w:ilvl w:val="0"/>
          <w:numId w:val="62"/>
        </w:numPr>
        <w:suppressAutoHyphens w:val="0"/>
        <w:spacing w:line="360" w:lineRule="auto"/>
        <w:ind w:left="360"/>
        <w:jc w:val="both"/>
        <w:rPr>
          <w:lang w:val="uk-UA"/>
        </w:rPr>
      </w:pPr>
      <w:r>
        <w:rPr>
          <w:lang w:val="uk-UA"/>
        </w:rPr>
        <w:t xml:space="preserve">Пат. № 20576 </w:t>
      </w:r>
      <w:r>
        <w:rPr>
          <w:lang w:val="en-US"/>
        </w:rPr>
        <w:t>UA</w:t>
      </w:r>
      <w:r>
        <w:rPr>
          <w:lang w:val="uk-UA"/>
        </w:rPr>
        <w:t xml:space="preserve">, МКИ </w:t>
      </w:r>
      <w:r>
        <w:rPr>
          <w:lang w:val="en-US"/>
        </w:rPr>
        <w:t>G</w:t>
      </w:r>
      <w:r>
        <w:rPr>
          <w:lang w:val="uk-UA"/>
        </w:rPr>
        <w:t xml:space="preserve"> 01 </w:t>
      </w:r>
      <w:r>
        <w:rPr>
          <w:lang w:val="en-US"/>
        </w:rPr>
        <w:t>N</w:t>
      </w:r>
      <w:r>
        <w:rPr>
          <w:lang w:val="uk-UA"/>
        </w:rPr>
        <w:t xml:space="preserve"> 33/53, А 61 В 8/12. Спосіб оцінки ступеня активності системного червоного вовчака. Дядик О. І., Ракитська І. В., Хоменко М. В., Зуауі Мохамед Хельмі, Хедхілі Валід; Дон. ДМУ № 20576; заявл. 09.11.06; опубл. 15.01.07, Бюл. №1.</w:t>
      </w:r>
    </w:p>
    <w:p w:rsidR="00CC1CAF" w:rsidRDefault="00CC1CAF" w:rsidP="003142AD">
      <w:pPr>
        <w:numPr>
          <w:ilvl w:val="0"/>
          <w:numId w:val="62"/>
        </w:numPr>
        <w:suppressAutoHyphens w:val="0"/>
        <w:spacing w:line="360" w:lineRule="auto"/>
        <w:ind w:left="360"/>
        <w:jc w:val="both"/>
      </w:pPr>
      <w:r>
        <w:rPr>
          <w:lang w:val="uk-UA"/>
        </w:rPr>
        <w:t>Про</w:t>
      </w:r>
      <w:r>
        <w:t>хоров Е.П. Особенности современного течения и терапии системной красной волчанки у детей и подростков</w:t>
      </w:r>
      <w:r>
        <w:rPr>
          <w:lang w:val="uk-UA"/>
        </w:rPr>
        <w:t xml:space="preserve"> </w:t>
      </w:r>
      <w:r>
        <w:t>/</w:t>
      </w:r>
      <w:r>
        <w:rPr>
          <w:lang w:val="uk-UA"/>
        </w:rPr>
        <w:t xml:space="preserve"> </w:t>
      </w:r>
      <w:r>
        <w:t xml:space="preserve">Е.П. </w:t>
      </w:r>
      <w:r>
        <w:rPr>
          <w:lang w:val="uk-UA"/>
        </w:rPr>
        <w:t>Про</w:t>
      </w:r>
      <w:r>
        <w:t>хоров, Т.П. Борисова // Здоровье ребенка. – 2007. – №  2. – С. 60-66.</w:t>
      </w:r>
    </w:p>
    <w:p w:rsidR="00CC1CAF" w:rsidRDefault="00CC1CAF" w:rsidP="003142AD">
      <w:pPr>
        <w:numPr>
          <w:ilvl w:val="0"/>
          <w:numId w:val="62"/>
        </w:numPr>
        <w:suppressAutoHyphens w:val="0"/>
        <w:spacing w:line="360" w:lineRule="auto"/>
        <w:ind w:left="360"/>
        <w:jc w:val="both"/>
      </w:pPr>
      <w:r>
        <w:rPr>
          <w:lang w:val="uk-UA"/>
        </w:rPr>
        <w:t xml:space="preserve">Рекомендації Української асоціації кардіологів з профілактики та лікування артеріальної гіпертензії. – К.: Інститут кардіології АМН України, 2004. – 86 с. </w:t>
      </w:r>
    </w:p>
    <w:p w:rsidR="00CC1CAF" w:rsidRDefault="00CC1CAF" w:rsidP="003142AD">
      <w:pPr>
        <w:numPr>
          <w:ilvl w:val="0"/>
          <w:numId w:val="62"/>
        </w:numPr>
        <w:suppressAutoHyphens w:val="0"/>
        <w:spacing w:line="360" w:lineRule="auto"/>
        <w:ind w:left="360"/>
        <w:jc w:val="both"/>
      </w:pPr>
      <w:r>
        <w:rPr>
          <w:lang w:val="uk-UA"/>
        </w:rPr>
        <w:t xml:space="preserve">Свинцицкий А.С. Системная красная волчанка: особенности </w:t>
      </w:r>
      <w:r>
        <w:t xml:space="preserve">клинической симптоматики / </w:t>
      </w:r>
      <w:r>
        <w:rPr>
          <w:lang w:val="uk-UA"/>
        </w:rPr>
        <w:t>А.С.</w:t>
      </w:r>
      <w:r>
        <w:t xml:space="preserve"> </w:t>
      </w:r>
      <w:r>
        <w:rPr>
          <w:lang w:val="uk-UA"/>
        </w:rPr>
        <w:t xml:space="preserve">Свинцицкий </w:t>
      </w:r>
      <w:r>
        <w:t>// Доктор. – 2002. – № 1. – С. 22-26.</w:t>
      </w:r>
    </w:p>
    <w:p w:rsidR="00CC1CAF" w:rsidRDefault="00CC1CAF" w:rsidP="003142AD">
      <w:pPr>
        <w:numPr>
          <w:ilvl w:val="0"/>
          <w:numId w:val="62"/>
        </w:numPr>
        <w:suppressAutoHyphens w:val="0"/>
        <w:spacing w:line="360" w:lineRule="auto"/>
        <w:ind w:left="360"/>
        <w:jc w:val="both"/>
      </w:pPr>
      <w:r>
        <w:t>Тарасова И.А. Значение индекса повреждения в прогнозировании исхода системной красной волчанки / И.А.Тарасова, М.М.Иванова, А.П. Жорняк // Терапевтический архив. – 2003. – № 1. – С. 59-62.</w:t>
      </w:r>
    </w:p>
    <w:p w:rsidR="00CC1CAF" w:rsidRDefault="00CC1CAF" w:rsidP="003142AD">
      <w:pPr>
        <w:numPr>
          <w:ilvl w:val="0"/>
          <w:numId w:val="62"/>
        </w:numPr>
        <w:suppressAutoHyphens w:val="0"/>
        <w:spacing w:line="360" w:lineRule="auto"/>
        <w:ind w:left="360"/>
        <w:jc w:val="both"/>
      </w:pPr>
      <w:r>
        <w:t>Тареева</w:t>
      </w:r>
      <w:r>
        <w:rPr>
          <w:lang w:val="uk-UA"/>
        </w:rPr>
        <w:t xml:space="preserve"> </w:t>
      </w:r>
      <w:r>
        <w:t xml:space="preserve">И.Е. </w:t>
      </w:r>
      <w:r>
        <w:rPr>
          <w:lang w:val="uk-UA"/>
        </w:rPr>
        <w:t>Волчаночный нефрит в середине ХХ века и в начале ХХ</w:t>
      </w:r>
      <w:proofErr w:type="gramStart"/>
      <w:r>
        <w:rPr>
          <w:lang w:val="en-US"/>
        </w:rPr>
        <w:t>I</w:t>
      </w:r>
      <w:proofErr w:type="gramEnd"/>
      <w:r>
        <w:t xml:space="preserve"> / И.Е.Тареева, Е.М.Шилов, Т.Н.Краснова  // Терапевт</w:t>
      </w:r>
      <w:r>
        <w:rPr>
          <w:lang w:val="uk-UA"/>
        </w:rPr>
        <w:t>ический</w:t>
      </w:r>
      <w:r>
        <w:t xml:space="preserve"> архив. – 2001. – № 6. – С. 5-10.</w:t>
      </w:r>
    </w:p>
    <w:p w:rsidR="00CC1CAF" w:rsidRDefault="00CC1CAF" w:rsidP="003142AD">
      <w:pPr>
        <w:numPr>
          <w:ilvl w:val="0"/>
          <w:numId w:val="62"/>
        </w:numPr>
        <w:suppressAutoHyphens w:val="0"/>
        <w:spacing w:line="360" w:lineRule="auto"/>
        <w:ind w:left="360"/>
        <w:jc w:val="both"/>
      </w:pPr>
      <w:r>
        <w:rPr>
          <w:lang w:val="uk-UA"/>
        </w:rPr>
        <w:t xml:space="preserve">Шевчук С.В. Порівняльна характеристика систем оцінки активності запального процесу у хворих на системний червоний вовчак з рівнем цитокінів у крові </w:t>
      </w:r>
      <w:r>
        <w:t xml:space="preserve">/ </w:t>
      </w:r>
      <w:r>
        <w:rPr>
          <w:lang w:val="uk-UA"/>
        </w:rPr>
        <w:t>С.В.</w:t>
      </w:r>
      <w:r>
        <w:t xml:space="preserve"> </w:t>
      </w:r>
      <w:r>
        <w:rPr>
          <w:lang w:val="uk-UA"/>
        </w:rPr>
        <w:t>Шевчук // Укр.</w:t>
      </w:r>
      <w:r>
        <w:t xml:space="preserve"> </w:t>
      </w:r>
      <w:r>
        <w:rPr>
          <w:lang w:val="uk-UA"/>
        </w:rPr>
        <w:t xml:space="preserve">ревматологічний журнал. – 2005. </w:t>
      </w:r>
      <w:r>
        <w:t xml:space="preserve">– № 2. – С. </w:t>
      </w:r>
      <w:r>
        <w:rPr>
          <w:lang w:val="uk-UA"/>
        </w:rPr>
        <w:t>23</w:t>
      </w:r>
      <w:r>
        <w:t>-</w:t>
      </w:r>
      <w:r>
        <w:rPr>
          <w:lang w:val="uk-UA"/>
        </w:rPr>
        <w:t>26.</w:t>
      </w:r>
    </w:p>
    <w:p w:rsidR="00CC1CAF" w:rsidRDefault="00CC1CAF" w:rsidP="003142AD">
      <w:pPr>
        <w:numPr>
          <w:ilvl w:val="0"/>
          <w:numId w:val="62"/>
        </w:numPr>
        <w:suppressAutoHyphens w:val="0"/>
        <w:spacing w:line="360" w:lineRule="auto"/>
        <w:ind w:left="360"/>
        <w:jc w:val="both"/>
      </w:pPr>
      <w:r>
        <w:t>Яременко О.Б. Глюкокортикоиды в ревматологии: современная номенклатура дозовых режимов и рациональное применение / О.Б. Яременко // Укр. ревматологічний журнал. – 2002. – № 3. – С. 20-26.</w:t>
      </w:r>
    </w:p>
    <w:p w:rsidR="00CC1CAF" w:rsidRDefault="00CC1CAF" w:rsidP="003142AD">
      <w:pPr>
        <w:numPr>
          <w:ilvl w:val="0"/>
          <w:numId w:val="62"/>
        </w:numPr>
        <w:suppressAutoHyphens w:val="0"/>
        <w:spacing w:line="360" w:lineRule="auto"/>
        <w:ind w:left="360"/>
        <w:jc w:val="both"/>
        <w:rPr>
          <w:lang w:val="en-US"/>
        </w:rPr>
      </w:pPr>
      <w:r>
        <w:rPr>
          <w:lang w:val="en-US"/>
        </w:rPr>
        <w:t xml:space="preserve">Adu D. Treatment of proliferative lupus nephritis: a changing landscape / D. Adu // Kidney Int. – 2006. – Vol. 70, </w:t>
      </w:r>
      <w:r>
        <w:rPr>
          <w:lang w:val="uk-UA"/>
        </w:rPr>
        <w:t>№</w:t>
      </w:r>
      <w:r>
        <w:rPr>
          <w:lang w:val="en-US"/>
        </w:rPr>
        <w:t xml:space="preserve"> 2. – P. 616-618.</w:t>
      </w:r>
    </w:p>
    <w:p w:rsidR="00CC1CAF" w:rsidRDefault="00CC1CAF" w:rsidP="003142AD">
      <w:pPr>
        <w:numPr>
          <w:ilvl w:val="0"/>
          <w:numId w:val="62"/>
        </w:numPr>
        <w:suppressAutoHyphens w:val="0"/>
        <w:spacing w:line="360" w:lineRule="auto"/>
        <w:ind w:left="360"/>
        <w:jc w:val="both"/>
        <w:rPr>
          <w:lang w:val="en-US"/>
        </w:rPr>
      </w:pPr>
      <w:r>
        <w:rPr>
          <w:lang w:val="en-US"/>
        </w:rPr>
        <w:t>Alamanos Y. Epidemiology of systemic lupus erythematosus in Northwest Greece / Y. Alamanos, P.V. Voulgari, C. Siozos  // J.</w:t>
      </w:r>
      <w:r>
        <w:rPr>
          <w:lang w:val="uk-UA"/>
        </w:rPr>
        <w:t xml:space="preserve"> </w:t>
      </w:r>
      <w:r>
        <w:rPr>
          <w:lang w:val="en-US"/>
        </w:rPr>
        <w:t>Rheumatol. – 2003. – Vol</w:t>
      </w:r>
      <w:r>
        <w:rPr>
          <w:color w:val="000000"/>
          <w:lang w:val="en-US"/>
        </w:rPr>
        <w:t>. 30, N 4.</w:t>
      </w:r>
      <w:r>
        <w:rPr>
          <w:lang w:val="en-US"/>
        </w:rPr>
        <w:t xml:space="preserve"> – P. 731-735.</w:t>
      </w:r>
    </w:p>
    <w:p w:rsidR="00CC1CAF" w:rsidRDefault="00CC1CAF" w:rsidP="003142AD">
      <w:pPr>
        <w:numPr>
          <w:ilvl w:val="0"/>
          <w:numId w:val="62"/>
        </w:numPr>
        <w:suppressAutoHyphens w:val="0"/>
        <w:spacing w:line="360" w:lineRule="auto"/>
        <w:ind w:left="360"/>
        <w:jc w:val="both"/>
        <w:rPr>
          <w:color w:val="000000"/>
          <w:lang w:val="en-US"/>
        </w:rPr>
      </w:pPr>
      <w:r>
        <w:rPr>
          <w:lang w:val="en-US"/>
        </w:rPr>
        <w:t xml:space="preserve">Alamanos Y. Survival and mortality rates of systemic lupus erythematosus patients in Northwest Greece. Study of a 21 years incidence cohort / Y. Alamanos, P.V.Voulgari, M. </w:t>
      </w:r>
      <w:proofErr w:type="gramStart"/>
      <w:r>
        <w:rPr>
          <w:lang w:val="en-US"/>
        </w:rPr>
        <w:t>Parassava  /</w:t>
      </w:r>
      <w:proofErr w:type="gramEnd"/>
      <w:r>
        <w:rPr>
          <w:lang w:val="en-US"/>
        </w:rPr>
        <w:t xml:space="preserve">/ Rheumatology. – 2003. </w:t>
      </w:r>
      <w:r>
        <w:rPr>
          <w:color w:val="000000"/>
          <w:lang w:val="en-US"/>
        </w:rPr>
        <w:t>– Vol. 42, N 9. – P. 1122-1123.</w:t>
      </w:r>
    </w:p>
    <w:p w:rsidR="00CC1CAF" w:rsidRDefault="00CC1CAF" w:rsidP="003142AD">
      <w:pPr>
        <w:numPr>
          <w:ilvl w:val="0"/>
          <w:numId w:val="62"/>
        </w:numPr>
        <w:suppressAutoHyphens w:val="0"/>
        <w:spacing w:line="360" w:lineRule="auto"/>
        <w:ind w:left="360"/>
        <w:jc w:val="both"/>
        <w:rPr>
          <w:lang w:val="en-US"/>
        </w:rPr>
      </w:pPr>
      <w:r>
        <w:rPr>
          <w:lang w:val="en-US"/>
        </w:rPr>
        <w:t>Alarcon G.S. Infections in systemic connective tissue diseases: systemic lupus erythematosus, scleroderma and polymyositis</w:t>
      </w:r>
      <w:r>
        <w:rPr>
          <w:lang w:val="uk-UA"/>
        </w:rPr>
        <w:t xml:space="preserve"> </w:t>
      </w:r>
      <w:r>
        <w:rPr>
          <w:lang w:val="en-US"/>
        </w:rPr>
        <w:t>/</w:t>
      </w:r>
      <w:r>
        <w:rPr>
          <w:lang w:val="uk-UA"/>
        </w:rPr>
        <w:t xml:space="preserve"> </w:t>
      </w:r>
      <w:r>
        <w:rPr>
          <w:lang w:val="en-US"/>
        </w:rPr>
        <w:t xml:space="preserve">dermatomyositis / G.S. Alarcon // Infect. Dis. Clin. N. Amer. – 2006. – </w:t>
      </w:r>
      <w:r>
        <w:rPr>
          <w:color w:val="000000"/>
          <w:lang w:val="en-US"/>
        </w:rPr>
        <w:t>Vol. 20, N 4.</w:t>
      </w:r>
      <w:r>
        <w:rPr>
          <w:lang w:val="en-US"/>
        </w:rPr>
        <w:t xml:space="preserve"> – P. 849-875.</w:t>
      </w:r>
    </w:p>
    <w:p w:rsidR="00CC1CAF" w:rsidRDefault="00CC1CAF" w:rsidP="003142AD">
      <w:pPr>
        <w:numPr>
          <w:ilvl w:val="0"/>
          <w:numId w:val="62"/>
        </w:numPr>
        <w:suppressAutoHyphens w:val="0"/>
        <w:spacing w:line="360" w:lineRule="auto"/>
        <w:ind w:left="360"/>
        <w:jc w:val="both"/>
        <w:rPr>
          <w:lang w:val="en-US"/>
        </w:rPr>
      </w:pPr>
      <w:r>
        <w:rPr>
          <w:lang w:val="en-US"/>
        </w:rPr>
        <w:lastRenderedPageBreak/>
        <w:t xml:space="preserve">Alarcon G.S. Time to Renal Disease and end-stage renal disease in PROFILE: a multiethnic lupus cohort / G.S. Alarcon, G. McGwin, M. </w:t>
      </w:r>
      <w:proofErr w:type="gramStart"/>
      <w:r>
        <w:rPr>
          <w:lang w:val="en-US"/>
        </w:rPr>
        <w:t>Petri  /</w:t>
      </w:r>
      <w:proofErr w:type="gramEnd"/>
      <w:r>
        <w:rPr>
          <w:lang w:val="en-US"/>
        </w:rPr>
        <w:t xml:space="preserve">/ Medicine. – 2006. – </w:t>
      </w:r>
      <w:r>
        <w:rPr>
          <w:color w:val="000000"/>
          <w:lang w:val="en-US"/>
        </w:rPr>
        <w:t>Vol. 3, N 10.</w:t>
      </w:r>
      <w:r>
        <w:rPr>
          <w:lang w:val="en-US"/>
        </w:rPr>
        <w:t xml:space="preserve"> – P. 1949-1956.</w:t>
      </w:r>
    </w:p>
    <w:p w:rsidR="00CC1CAF" w:rsidRDefault="00CC1CAF" w:rsidP="003142AD">
      <w:pPr>
        <w:numPr>
          <w:ilvl w:val="0"/>
          <w:numId w:val="62"/>
        </w:numPr>
        <w:suppressAutoHyphens w:val="0"/>
        <w:spacing w:line="360" w:lineRule="auto"/>
        <w:ind w:left="360"/>
        <w:jc w:val="both"/>
        <w:rPr>
          <w:lang w:val="en-US"/>
        </w:rPr>
      </w:pPr>
      <w:r>
        <w:rPr>
          <w:lang w:val="en-US"/>
        </w:rPr>
        <w:t xml:space="preserve">Appel G.B. Secondary glomerular disease / G.B. Appel, J. Radhakrishnan, V.D.D’Agati // The Kidney / [ed. by </w:t>
      </w:r>
      <w:proofErr w:type="gramStart"/>
      <w:r>
        <w:rPr>
          <w:lang w:val="en-US"/>
        </w:rPr>
        <w:t>B.M.Brenner ]</w:t>
      </w:r>
      <w:proofErr w:type="gramEnd"/>
      <w:r>
        <w:rPr>
          <w:lang w:val="en-US"/>
        </w:rPr>
        <w:t>.–   [7</w:t>
      </w:r>
      <w:r>
        <w:rPr>
          <w:vertAlign w:val="superscript"/>
          <w:lang w:val="en-US"/>
        </w:rPr>
        <w:t>th</w:t>
      </w:r>
      <w:r>
        <w:rPr>
          <w:lang w:val="en-US"/>
        </w:rPr>
        <w:t xml:space="preserve"> Ed.]. – Philadelphia; London: Saunders, 2004. – Vol. 1, Chapt. 29. – P. 1382-1481.</w:t>
      </w:r>
    </w:p>
    <w:p w:rsidR="00CC1CAF" w:rsidRDefault="00CC1CAF" w:rsidP="003142AD">
      <w:pPr>
        <w:numPr>
          <w:ilvl w:val="0"/>
          <w:numId w:val="62"/>
        </w:numPr>
        <w:suppressAutoHyphens w:val="0"/>
        <w:spacing w:line="360" w:lineRule="auto"/>
        <w:ind w:left="360"/>
        <w:jc w:val="both"/>
        <w:rPr>
          <w:lang w:val="en-US"/>
        </w:rPr>
      </w:pPr>
      <w:r>
        <w:rPr>
          <w:lang w:val="en-US"/>
        </w:rPr>
        <w:t>Appel G.B. New approaches to the treatment of glomerular diseases / G.B. Appel, M. Waldman, J. Radhakrishnan // Kidney Int. – 2006. – Vol. 70 (Suppl. 104). – P. S45-S50.</w:t>
      </w:r>
    </w:p>
    <w:p w:rsidR="00CC1CAF" w:rsidRDefault="00CC1CAF" w:rsidP="003142AD">
      <w:pPr>
        <w:numPr>
          <w:ilvl w:val="0"/>
          <w:numId w:val="62"/>
        </w:numPr>
        <w:suppressAutoHyphens w:val="0"/>
        <w:spacing w:line="360" w:lineRule="auto"/>
        <w:ind w:left="360"/>
        <w:jc w:val="both"/>
        <w:rPr>
          <w:lang w:val="en-US"/>
        </w:rPr>
      </w:pPr>
      <w:r>
        <w:rPr>
          <w:lang w:val="en-US"/>
        </w:rPr>
        <w:t>Appel G. Multicenter controlled trial of mycophenolate mofetil as induction therapy for severe lupus nephritis / G. Appel, E.M.</w:t>
      </w:r>
      <w:r>
        <w:rPr>
          <w:lang w:val="uk-UA"/>
        </w:rPr>
        <w:t xml:space="preserve"> </w:t>
      </w:r>
      <w:r>
        <w:rPr>
          <w:lang w:val="en-US"/>
        </w:rPr>
        <w:t>Ginzler, J.</w:t>
      </w:r>
      <w:r>
        <w:rPr>
          <w:lang w:val="uk-UA"/>
        </w:rPr>
        <w:t xml:space="preserve"> </w:t>
      </w:r>
      <w:r>
        <w:rPr>
          <w:lang w:val="en-US"/>
        </w:rPr>
        <w:t>Radhakrishnan  // J. Amer. Soc. Nephrol. – 2003. – Vol. 14, Suppl. – P. 38A.</w:t>
      </w:r>
    </w:p>
    <w:p w:rsidR="00CC1CAF" w:rsidRDefault="00CC1CAF" w:rsidP="003142AD">
      <w:pPr>
        <w:numPr>
          <w:ilvl w:val="0"/>
          <w:numId w:val="62"/>
        </w:numPr>
        <w:suppressAutoHyphens w:val="0"/>
        <w:spacing w:line="360" w:lineRule="auto"/>
        <w:ind w:left="360"/>
        <w:jc w:val="both"/>
        <w:rPr>
          <w:lang w:val="en-US"/>
        </w:rPr>
      </w:pPr>
      <w:r>
        <w:rPr>
          <w:lang w:val="en-US"/>
        </w:rPr>
        <w:t>Aringer M. Safety and efficacy of tumor necrosis factor alpha blockade in systemic lupus erythematosus: an open label study / M.</w:t>
      </w:r>
      <w:r>
        <w:rPr>
          <w:lang w:val="uk-UA"/>
        </w:rPr>
        <w:t xml:space="preserve"> </w:t>
      </w:r>
      <w:r>
        <w:rPr>
          <w:lang w:val="en-US"/>
        </w:rPr>
        <w:t>Aringer, W.B.</w:t>
      </w:r>
      <w:r>
        <w:rPr>
          <w:lang w:val="uk-UA"/>
        </w:rPr>
        <w:t xml:space="preserve"> </w:t>
      </w:r>
      <w:r>
        <w:rPr>
          <w:lang w:val="en-US"/>
        </w:rPr>
        <w:t>Graninger, G.</w:t>
      </w:r>
      <w:r>
        <w:rPr>
          <w:lang w:val="uk-UA"/>
        </w:rPr>
        <w:t xml:space="preserve"> </w:t>
      </w:r>
      <w:r>
        <w:rPr>
          <w:lang w:val="en-US"/>
        </w:rPr>
        <w:t>Steiner // Arthr</w:t>
      </w:r>
      <w:r>
        <w:rPr>
          <w:lang w:val="uk-UA"/>
        </w:rPr>
        <w:t>.</w:t>
      </w:r>
      <w:r>
        <w:rPr>
          <w:lang w:val="en-US"/>
        </w:rPr>
        <w:t xml:space="preserve"> Rheum. – 2004</w:t>
      </w:r>
      <w:r>
        <w:rPr>
          <w:color w:val="000000"/>
          <w:lang w:val="en-US"/>
        </w:rPr>
        <w:t>. – Vol. 50, N 10.</w:t>
      </w:r>
      <w:r>
        <w:rPr>
          <w:lang w:val="en-US"/>
        </w:rPr>
        <w:t xml:space="preserve"> – P. 3161-3169.</w:t>
      </w:r>
    </w:p>
    <w:p w:rsidR="00CC1CAF" w:rsidRDefault="00CC1CAF" w:rsidP="003142AD">
      <w:pPr>
        <w:numPr>
          <w:ilvl w:val="0"/>
          <w:numId w:val="62"/>
        </w:numPr>
        <w:suppressAutoHyphens w:val="0"/>
        <w:spacing w:line="360" w:lineRule="auto"/>
        <w:ind w:left="360"/>
        <w:jc w:val="both"/>
        <w:rPr>
          <w:lang w:val="en-US"/>
        </w:rPr>
      </w:pPr>
      <w:r>
        <w:rPr>
          <w:lang w:val="en-US"/>
        </w:rPr>
        <w:t xml:space="preserve">Avihingsanon Y. Measurement of urinary chemokine and growth factor messenger RNAs: a noninvasive monitoring in lupus nephritis / Y. Avihingsanon, P. Phumesin, T. </w:t>
      </w:r>
      <w:proofErr w:type="gramStart"/>
      <w:r>
        <w:rPr>
          <w:lang w:val="en-US"/>
        </w:rPr>
        <w:t>Benjachat  /</w:t>
      </w:r>
      <w:proofErr w:type="gramEnd"/>
      <w:r>
        <w:rPr>
          <w:lang w:val="en-US"/>
        </w:rPr>
        <w:t>/ Kidney Int. – 2006. – Vol. 69, № 2. – P. 747-753.</w:t>
      </w:r>
    </w:p>
    <w:p w:rsidR="00CC1CAF" w:rsidRDefault="00CC1CAF" w:rsidP="003142AD">
      <w:pPr>
        <w:numPr>
          <w:ilvl w:val="0"/>
          <w:numId w:val="62"/>
        </w:numPr>
        <w:suppressAutoHyphens w:val="0"/>
        <w:spacing w:line="360" w:lineRule="auto"/>
        <w:ind w:left="360"/>
        <w:jc w:val="both"/>
        <w:rPr>
          <w:lang w:val="en-US"/>
        </w:rPr>
      </w:pPr>
      <w:r>
        <w:rPr>
          <w:lang w:val="en-US"/>
        </w:rPr>
        <w:t>Austin H.A. Natural history and treatment of lupus nephritis / H.A. Austin, J.E. Balow // Sem. Nephrol. – 1999. – Vol. 19, №</w:t>
      </w:r>
      <w:r>
        <w:rPr>
          <w:lang w:val="uk-UA"/>
        </w:rPr>
        <w:t xml:space="preserve"> 1</w:t>
      </w:r>
      <w:r>
        <w:rPr>
          <w:lang w:val="en-US"/>
        </w:rPr>
        <w:t>. – P. 2-11.</w:t>
      </w:r>
    </w:p>
    <w:p w:rsidR="00CC1CAF" w:rsidRDefault="00CC1CAF" w:rsidP="003142AD">
      <w:pPr>
        <w:numPr>
          <w:ilvl w:val="0"/>
          <w:numId w:val="62"/>
        </w:numPr>
        <w:suppressAutoHyphens w:val="0"/>
        <w:spacing w:line="360" w:lineRule="auto"/>
        <w:ind w:left="360"/>
        <w:jc w:val="both"/>
        <w:rPr>
          <w:lang w:val="fr-FR"/>
        </w:rPr>
      </w:pPr>
      <w:r>
        <w:rPr>
          <w:lang w:val="fr-FR"/>
        </w:rPr>
        <w:t>Austin H.A. Membranous lupus nephritis / H.A. Austin, G.G. Illei // Lupus. – 2005. – Vol</w:t>
      </w:r>
      <w:r>
        <w:rPr>
          <w:color w:val="000000"/>
          <w:lang w:val="fr-FR"/>
        </w:rPr>
        <w:t>. 14, N 1.</w:t>
      </w:r>
      <w:r>
        <w:rPr>
          <w:lang w:val="fr-FR"/>
        </w:rPr>
        <w:t xml:space="preserve"> – P. 65-71.</w:t>
      </w:r>
    </w:p>
    <w:p w:rsidR="00CC1CAF" w:rsidRDefault="00CC1CAF" w:rsidP="003142AD">
      <w:pPr>
        <w:numPr>
          <w:ilvl w:val="0"/>
          <w:numId w:val="62"/>
        </w:numPr>
        <w:suppressAutoHyphens w:val="0"/>
        <w:spacing w:line="360" w:lineRule="auto"/>
        <w:ind w:left="360"/>
        <w:jc w:val="both"/>
        <w:rPr>
          <w:lang w:val="fr-FR"/>
        </w:rPr>
      </w:pPr>
      <w:r>
        <w:rPr>
          <w:lang w:val="fr-FR"/>
        </w:rPr>
        <w:t xml:space="preserve">Bajaj S. Serial renal biopsy in systemic lupus erythematosus / S. Bajaj, L. Albert, D.D. Gladman // J. Rheumatol. – 2000. – </w:t>
      </w:r>
      <w:r>
        <w:rPr>
          <w:color w:val="000000"/>
          <w:lang w:val="fr-FR"/>
        </w:rPr>
        <w:t>Vol. 27, N 12.</w:t>
      </w:r>
      <w:r>
        <w:rPr>
          <w:lang w:val="fr-FR"/>
        </w:rPr>
        <w:t xml:space="preserve"> – P. 2822-2826.</w:t>
      </w:r>
    </w:p>
    <w:p w:rsidR="00CC1CAF" w:rsidRDefault="00CC1CAF" w:rsidP="003142AD">
      <w:pPr>
        <w:pStyle w:val="affffffff6"/>
        <w:numPr>
          <w:ilvl w:val="0"/>
          <w:numId w:val="62"/>
        </w:numPr>
        <w:tabs>
          <w:tab w:val="clear" w:pos="4677"/>
          <w:tab w:val="clear" w:pos="9355"/>
        </w:tabs>
        <w:suppressAutoHyphens w:val="0"/>
        <w:spacing w:line="360" w:lineRule="auto"/>
        <w:ind w:left="360"/>
        <w:rPr>
          <w:lang w:val="en-US"/>
        </w:rPr>
      </w:pPr>
      <w:r>
        <w:rPr>
          <w:lang w:val="en-US"/>
        </w:rPr>
        <w:t>Balow J.E. Clinical presentation and monitoring of lupus nephritis / J.E. Balow // Lupus. – 2005. – Vol. 14, № 1. – P. 25-30.</w:t>
      </w:r>
    </w:p>
    <w:p w:rsidR="00CC1CAF" w:rsidRDefault="00CC1CAF" w:rsidP="003142AD">
      <w:pPr>
        <w:numPr>
          <w:ilvl w:val="0"/>
          <w:numId w:val="62"/>
        </w:numPr>
        <w:suppressAutoHyphens w:val="0"/>
        <w:spacing w:line="360" w:lineRule="auto"/>
        <w:ind w:left="360"/>
        <w:jc w:val="both"/>
        <w:rPr>
          <w:lang w:val="en-US"/>
        </w:rPr>
      </w:pPr>
      <w:r>
        <w:rPr>
          <w:lang w:val="en-US"/>
        </w:rPr>
        <w:t>Balow J.E. Therapy of membranous nephropathy in systemic lupus erythematosus / J.E. Balow, H.A. Austin // Semin.</w:t>
      </w:r>
      <w:r>
        <w:rPr>
          <w:lang w:val="uk-UA"/>
        </w:rPr>
        <w:t xml:space="preserve"> </w:t>
      </w:r>
      <w:r>
        <w:rPr>
          <w:lang w:val="en-US"/>
        </w:rPr>
        <w:t xml:space="preserve">Nephrol. – 2003. – </w:t>
      </w:r>
      <w:r>
        <w:rPr>
          <w:color w:val="000000"/>
          <w:lang w:val="en-US"/>
        </w:rPr>
        <w:t>Vol. 23, N 4.</w:t>
      </w:r>
      <w:r>
        <w:rPr>
          <w:lang w:val="en-US"/>
        </w:rPr>
        <w:t xml:space="preserve"> – P. 386-391.</w:t>
      </w:r>
    </w:p>
    <w:p w:rsidR="00CC1CAF" w:rsidRDefault="00CC1CAF" w:rsidP="003142AD">
      <w:pPr>
        <w:numPr>
          <w:ilvl w:val="0"/>
          <w:numId w:val="62"/>
        </w:numPr>
        <w:suppressAutoHyphens w:val="0"/>
        <w:spacing w:line="360" w:lineRule="auto"/>
        <w:ind w:left="360"/>
        <w:jc w:val="both"/>
        <w:rPr>
          <w:lang w:val="en-US"/>
        </w:rPr>
      </w:pPr>
      <w:r>
        <w:rPr>
          <w:lang w:val="en-US"/>
        </w:rPr>
        <w:t>Balow J.E. Maintenance therapy for lupus nephritis – something old, something new / J.E. Balow, H.A. Austin // N. Engl. J. Med. – 2004. – Vol. 350</w:t>
      </w:r>
      <w:r>
        <w:rPr>
          <w:lang w:val="uk-UA"/>
        </w:rPr>
        <w:t>, № 10</w:t>
      </w:r>
      <w:r>
        <w:rPr>
          <w:lang w:val="en-US"/>
        </w:rPr>
        <w:t>. – P. 1044-1046.</w:t>
      </w:r>
    </w:p>
    <w:p w:rsidR="00CC1CAF" w:rsidRDefault="00CC1CAF" w:rsidP="003142AD">
      <w:pPr>
        <w:numPr>
          <w:ilvl w:val="0"/>
          <w:numId w:val="62"/>
        </w:numPr>
        <w:suppressAutoHyphens w:val="0"/>
        <w:spacing w:line="360" w:lineRule="auto"/>
        <w:ind w:left="360"/>
        <w:jc w:val="both"/>
        <w:rPr>
          <w:lang w:val="en-US"/>
        </w:rPr>
      </w:pPr>
      <w:r>
        <w:rPr>
          <w:lang w:val="en-US"/>
        </w:rPr>
        <w:t xml:space="preserve">Balow J.E. Treatment of proliferative lupus nephritis / J.E. Balow, H.A. Austin // Amer. J. Kidney Dis. – 2004. – Vol.43, </w:t>
      </w:r>
      <w:r>
        <w:rPr>
          <w:lang w:val="uk-UA"/>
        </w:rPr>
        <w:t>№</w:t>
      </w:r>
      <w:r>
        <w:rPr>
          <w:lang w:val="en-US"/>
        </w:rPr>
        <w:t xml:space="preserve"> 2. – P. 383-385.</w:t>
      </w:r>
    </w:p>
    <w:p w:rsidR="00CC1CAF" w:rsidRDefault="00CC1CAF" w:rsidP="003142AD">
      <w:pPr>
        <w:numPr>
          <w:ilvl w:val="0"/>
          <w:numId w:val="62"/>
        </w:numPr>
        <w:suppressAutoHyphens w:val="0"/>
        <w:spacing w:line="360" w:lineRule="auto"/>
        <w:ind w:left="360"/>
        <w:jc w:val="both"/>
        <w:rPr>
          <w:lang w:val="en-US"/>
        </w:rPr>
      </w:pPr>
      <w:r>
        <w:rPr>
          <w:lang w:val="en-US"/>
        </w:rPr>
        <w:t>Bancroft J.D. Manual of histological techniques and their diagnostic applications</w:t>
      </w:r>
      <w:r>
        <w:rPr>
          <w:lang w:val="uk-UA"/>
        </w:rPr>
        <w:t xml:space="preserve"> /</w:t>
      </w:r>
      <w:r>
        <w:rPr>
          <w:lang w:val="en-US"/>
        </w:rPr>
        <w:t xml:space="preserve"> J.D.</w:t>
      </w:r>
      <w:r>
        <w:rPr>
          <w:lang w:val="uk-UA"/>
        </w:rPr>
        <w:t xml:space="preserve"> </w:t>
      </w:r>
      <w:r>
        <w:rPr>
          <w:lang w:val="en-US"/>
        </w:rPr>
        <w:t>Bancroft, H.C.Cook. – London: Churchill Livingstone, 1994. – 219 p.</w:t>
      </w:r>
    </w:p>
    <w:p w:rsidR="00CC1CAF" w:rsidRDefault="00CC1CAF" w:rsidP="003142AD">
      <w:pPr>
        <w:numPr>
          <w:ilvl w:val="0"/>
          <w:numId w:val="62"/>
        </w:numPr>
        <w:suppressAutoHyphens w:val="0"/>
        <w:spacing w:line="360" w:lineRule="auto"/>
        <w:ind w:left="360"/>
        <w:jc w:val="both"/>
        <w:rPr>
          <w:lang w:val="en-US"/>
        </w:rPr>
      </w:pPr>
      <w:r>
        <w:rPr>
          <w:lang w:val="en-US"/>
        </w:rPr>
        <w:t>Barber C.E.H. Sustained remission of lupus nephritis / C.E.H.Barber, L. Geldenhuys, J.G. Hanly // Lupus. – 2006. – Vol. 15, № 2. – P. 94-101.</w:t>
      </w:r>
    </w:p>
    <w:p w:rsidR="00CC1CAF" w:rsidRDefault="00CC1CAF" w:rsidP="003142AD">
      <w:pPr>
        <w:numPr>
          <w:ilvl w:val="0"/>
          <w:numId w:val="62"/>
        </w:numPr>
        <w:suppressAutoHyphens w:val="0"/>
        <w:spacing w:line="360" w:lineRule="auto"/>
        <w:ind w:left="360"/>
        <w:jc w:val="both"/>
        <w:rPr>
          <w:lang w:val="en-US"/>
        </w:rPr>
      </w:pPr>
      <w:r>
        <w:rPr>
          <w:lang w:val="en-US"/>
        </w:rPr>
        <w:lastRenderedPageBreak/>
        <w:t xml:space="preserve">Bastian H.M. Systemic lupus erythematosus in a multiethnic US cohort (LUMINA) XL II: factors predictive of new or worsening proteinuria / H.M. Bastian, G.S. Alarcon, J.M. </w:t>
      </w:r>
      <w:proofErr w:type="gramStart"/>
      <w:r>
        <w:rPr>
          <w:lang w:val="en-US"/>
        </w:rPr>
        <w:t>Roseman  /</w:t>
      </w:r>
      <w:proofErr w:type="gramEnd"/>
      <w:r>
        <w:rPr>
          <w:lang w:val="en-US"/>
        </w:rPr>
        <w:t xml:space="preserve">/ Rheumatology. – 2007. – Vol. </w:t>
      </w:r>
      <w:r>
        <w:rPr>
          <w:color w:val="000000"/>
          <w:lang w:val="en-US"/>
        </w:rPr>
        <w:t>46, N 4.</w:t>
      </w:r>
      <w:r>
        <w:rPr>
          <w:lang w:val="en-US"/>
        </w:rPr>
        <w:t xml:space="preserve"> – P. 683-689.</w:t>
      </w:r>
    </w:p>
    <w:p w:rsidR="00CC1CAF" w:rsidRDefault="00CC1CAF" w:rsidP="003142AD">
      <w:pPr>
        <w:numPr>
          <w:ilvl w:val="0"/>
          <w:numId w:val="62"/>
        </w:numPr>
        <w:suppressAutoHyphens w:val="0"/>
        <w:spacing w:line="360" w:lineRule="auto"/>
        <w:ind w:left="360"/>
        <w:jc w:val="both"/>
        <w:rPr>
          <w:lang w:val="de-DE"/>
        </w:rPr>
      </w:pPr>
      <w:r>
        <w:rPr>
          <w:lang w:val="en-US"/>
        </w:rPr>
        <w:t xml:space="preserve">Benseler S.M. Systemic lupus erythematosus / E.D. Benseler.M., E.D. Silverman // Rheum. </w:t>
      </w:r>
      <w:r>
        <w:rPr>
          <w:lang w:val="de-DE"/>
        </w:rPr>
        <w:t xml:space="preserve">Dis. Clin. N. Amer. – 2007. – </w:t>
      </w:r>
      <w:r>
        <w:rPr>
          <w:color w:val="000000"/>
          <w:lang w:val="de-DE"/>
        </w:rPr>
        <w:t>Vol. 33, N 3.</w:t>
      </w:r>
      <w:r>
        <w:rPr>
          <w:lang w:val="de-DE"/>
        </w:rPr>
        <w:t xml:space="preserve"> – P. 471-498.</w:t>
      </w:r>
    </w:p>
    <w:p w:rsidR="00CC1CAF" w:rsidRDefault="00CC1CAF" w:rsidP="003142AD">
      <w:pPr>
        <w:numPr>
          <w:ilvl w:val="0"/>
          <w:numId w:val="62"/>
        </w:numPr>
        <w:suppressAutoHyphens w:val="0"/>
        <w:spacing w:line="360" w:lineRule="auto"/>
        <w:ind w:left="360"/>
        <w:jc w:val="both"/>
        <w:rPr>
          <w:lang w:val="en-US"/>
        </w:rPr>
      </w:pPr>
      <w:r>
        <w:rPr>
          <w:lang w:val="en-US"/>
        </w:rPr>
        <w:t>Bertoli A.M. Systemic lupus erythematosus in a multiethnic US cohort (LUMINA) XL I: factors predictive of self-reported work disability / A.M.</w:t>
      </w:r>
      <w:r>
        <w:rPr>
          <w:lang w:val="uk-UA"/>
        </w:rPr>
        <w:t xml:space="preserve"> </w:t>
      </w:r>
      <w:r>
        <w:rPr>
          <w:lang w:val="en-US"/>
        </w:rPr>
        <w:t>Bertoli, M.</w:t>
      </w:r>
      <w:r>
        <w:rPr>
          <w:lang w:val="uk-UA"/>
        </w:rPr>
        <w:t xml:space="preserve"> </w:t>
      </w:r>
      <w:r>
        <w:rPr>
          <w:lang w:val="en-US"/>
        </w:rPr>
        <w:t>Fernandez, G.S.</w:t>
      </w:r>
      <w:r>
        <w:rPr>
          <w:lang w:val="uk-UA"/>
        </w:rPr>
        <w:t xml:space="preserve"> </w:t>
      </w:r>
      <w:proofErr w:type="gramStart"/>
      <w:r>
        <w:rPr>
          <w:lang w:val="en-US"/>
        </w:rPr>
        <w:t>Alarcon  /</w:t>
      </w:r>
      <w:proofErr w:type="gramEnd"/>
      <w:r>
        <w:rPr>
          <w:lang w:val="en-US"/>
        </w:rPr>
        <w:t>/ Ann. Rheum. Med. – 2007. – Vol. 66, № 1. – P. 12-17.</w:t>
      </w:r>
    </w:p>
    <w:p w:rsidR="00CC1CAF" w:rsidRDefault="00CC1CAF" w:rsidP="003142AD">
      <w:pPr>
        <w:numPr>
          <w:ilvl w:val="0"/>
          <w:numId w:val="62"/>
        </w:numPr>
        <w:suppressAutoHyphens w:val="0"/>
        <w:spacing w:line="360" w:lineRule="auto"/>
        <w:ind w:left="360"/>
        <w:jc w:val="both"/>
        <w:rPr>
          <w:lang w:val="en-US"/>
        </w:rPr>
      </w:pPr>
      <w:r>
        <w:rPr>
          <w:lang w:val="en-US"/>
        </w:rPr>
        <w:t>Bihl G.R. Kidney biopsy in lupus nephritis: look before you leap / G.R. Bihl, M. Petri, D.M.Fine // Nephrol. Dial. Transplant. – 2006. – Vol. 21, № 7.</w:t>
      </w:r>
      <w:r>
        <w:rPr>
          <w:lang w:val="uk-UA"/>
        </w:rPr>
        <w:t xml:space="preserve"> – </w:t>
      </w:r>
      <w:r>
        <w:rPr>
          <w:lang w:val="en-US"/>
        </w:rPr>
        <w:t>P. 1</w:t>
      </w:r>
      <w:r>
        <w:rPr>
          <w:lang w:val="uk-UA"/>
        </w:rPr>
        <w:t>74</w:t>
      </w:r>
      <w:r>
        <w:rPr>
          <w:lang w:val="en-US"/>
        </w:rPr>
        <w:t>9</w:t>
      </w:r>
      <w:r>
        <w:rPr>
          <w:lang w:val="uk-UA"/>
        </w:rPr>
        <w:t>-17</w:t>
      </w:r>
      <w:r>
        <w:rPr>
          <w:lang w:val="en-US"/>
        </w:rPr>
        <w:t>52.</w:t>
      </w:r>
    </w:p>
    <w:p w:rsidR="00CC1CAF" w:rsidRDefault="00CC1CAF" w:rsidP="003142AD">
      <w:pPr>
        <w:numPr>
          <w:ilvl w:val="0"/>
          <w:numId w:val="62"/>
        </w:numPr>
        <w:suppressAutoHyphens w:val="0"/>
        <w:spacing w:line="360" w:lineRule="auto"/>
        <w:ind w:left="360"/>
        <w:jc w:val="both"/>
        <w:rPr>
          <w:lang w:val="en-US"/>
        </w:rPr>
      </w:pPr>
      <w:r>
        <w:rPr>
          <w:lang w:val="en-US"/>
        </w:rPr>
        <w:t>Bjornadal L. Cardiovascular disease a hazard despite improved prognosis in patients with systemic lupus erythematosus: results from a Swedish population based study / L.</w:t>
      </w:r>
      <w:r>
        <w:rPr>
          <w:lang w:val="uk-UA"/>
        </w:rPr>
        <w:t xml:space="preserve"> </w:t>
      </w:r>
      <w:r>
        <w:rPr>
          <w:lang w:val="en-US"/>
        </w:rPr>
        <w:t>Bjornadal, L.</w:t>
      </w:r>
      <w:r>
        <w:rPr>
          <w:lang w:val="uk-UA"/>
        </w:rPr>
        <w:t xml:space="preserve"> </w:t>
      </w:r>
      <w:r>
        <w:rPr>
          <w:lang w:val="en-US"/>
        </w:rPr>
        <w:t>Yin, F.</w:t>
      </w:r>
      <w:r>
        <w:rPr>
          <w:lang w:val="uk-UA"/>
        </w:rPr>
        <w:t xml:space="preserve"> </w:t>
      </w:r>
      <w:proofErr w:type="gramStart"/>
      <w:r>
        <w:rPr>
          <w:lang w:val="en-US"/>
        </w:rPr>
        <w:t>Granath</w:t>
      </w:r>
      <w:r>
        <w:rPr>
          <w:lang w:val="uk-UA"/>
        </w:rPr>
        <w:t xml:space="preserve"> </w:t>
      </w:r>
      <w:r>
        <w:rPr>
          <w:lang w:val="en-US"/>
        </w:rPr>
        <w:t xml:space="preserve"> /</w:t>
      </w:r>
      <w:proofErr w:type="gramEnd"/>
      <w:r>
        <w:rPr>
          <w:lang w:val="en-US"/>
        </w:rPr>
        <w:t xml:space="preserve">/ J. Rheumatol. – 2004. – </w:t>
      </w:r>
      <w:r>
        <w:rPr>
          <w:color w:val="000000"/>
          <w:lang w:val="en-US"/>
        </w:rPr>
        <w:t>Vol. 31, N 4.</w:t>
      </w:r>
      <w:r>
        <w:rPr>
          <w:lang w:val="en-US"/>
        </w:rPr>
        <w:t xml:space="preserve"> – P. 713-719.</w:t>
      </w:r>
    </w:p>
    <w:p w:rsidR="00CC1CAF" w:rsidRDefault="00CC1CAF" w:rsidP="003142AD">
      <w:pPr>
        <w:numPr>
          <w:ilvl w:val="0"/>
          <w:numId w:val="62"/>
        </w:numPr>
        <w:suppressAutoHyphens w:val="0"/>
        <w:spacing w:line="360" w:lineRule="auto"/>
        <w:ind w:left="360"/>
        <w:jc w:val="both"/>
        <w:rPr>
          <w:lang w:val="en-US"/>
        </w:rPr>
      </w:pPr>
      <w:r>
        <w:rPr>
          <w:lang w:val="en-US"/>
        </w:rPr>
        <w:t xml:space="preserve">Boumpas D.T. Controlled trial of pulse methylprednisolone versus two regimens of pulse CYC in severe lupus nephritis / D.T. Boumpas, H.A. Austin, E.M. Vaughn  // Lancet. – 1992. – </w:t>
      </w:r>
      <w:r>
        <w:rPr>
          <w:color w:val="000000"/>
          <w:lang w:val="en-US"/>
        </w:rPr>
        <w:t>Vol. 340, N 8822.</w:t>
      </w:r>
      <w:r>
        <w:rPr>
          <w:lang w:val="en-US"/>
        </w:rPr>
        <w:t xml:space="preserve"> – P. 741-745.</w:t>
      </w:r>
    </w:p>
    <w:p w:rsidR="00CC1CAF" w:rsidRDefault="00CC1CAF" w:rsidP="003142AD">
      <w:pPr>
        <w:numPr>
          <w:ilvl w:val="0"/>
          <w:numId w:val="62"/>
        </w:numPr>
        <w:suppressAutoHyphens w:val="0"/>
        <w:spacing w:line="360" w:lineRule="auto"/>
        <w:ind w:left="360"/>
        <w:jc w:val="both"/>
        <w:rPr>
          <w:lang w:val="en-US"/>
        </w:rPr>
      </w:pPr>
      <w:r>
        <w:rPr>
          <w:lang w:val="en-US"/>
        </w:rPr>
        <w:t xml:space="preserve">Bruce I.N. Factors associated with refractory renal disease in patients with SLE: the role of patient nonadherence / I.N. Bruce, D.D. Gladman, M.B. Urowitz // Arthr. Care Res. – 2000. – </w:t>
      </w:r>
      <w:r>
        <w:rPr>
          <w:color w:val="000000"/>
          <w:lang w:val="en-US"/>
        </w:rPr>
        <w:t>Vol. 13.</w:t>
      </w:r>
      <w:r>
        <w:rPr>
          <w:lang w:val="en-US"/>
        </w:rPr>
        <w:t xml:space="preserve"> – P. 406-408.</w:t>
      </w:r>
    </w:p>
    <w:p w:rsidR="00CC1CAF" w:rsidRDefault="00CC1CAF" w:rsidP="003142AD">
      <w:pPr>
        <w:pStyle w:val="affffffff6"/>
        <w:numPr>
          <w:ilvl w:val="0"/>
          <w:numId w:val="62"/>
        </w:numPr>
        <w:tabs>
          <w:tab w:val="clear" w:pos="4677"/>
          <w:tab w:val="clear" w:pos="9355"/>
        </w:tabs>
        <w:suppressAutoHyphens w:val="0"/>
        <w:spacing w:line="360" w:lineRule="auto"/>
        <w:ind w:left="360"/>
        <w:rPr>
          <w:lang w:val="en-US"/>
        </w:rPr>
      </w:pPr>
      <w:r>
        <w:rPr>
          <w:lang w:val="en-US"/>
        </w:rPr>
        <w:t xml:space="preserve">Bugeon L. Inducible gene silencining in </w:t>
      </w:r>
      <w:proofErr w:type="gramStart"/>
      <w:r>
        <w:rPr>
          <w:lang w:val="en-US"/>
        </w:rPr>
        <w:t>podocytes :</w:t>
      </w:r>
      <w:proofErr w:type="gramEnd"/>
      <w:r>
        <w:rPr>
          <w:lang w:val="en-US"/>
        </w:rPr>
        <w:t xml:space="preserve"> a new tool for studying glomerular function / L. Bugeon, A. Danou, D. Carpentier  // J. Amer. Soc. Nephrol. – 2003. – Vol. 14, N 3. – P. 786-791.</w:t>
      </w:r>
    </w:p>
    <w:p w:rsidR="00CC1CAF" w:rsidRDefault="00CC1CAF" w:rsidP="003142AD">
      <w:pPr>
        <w:numPr>
          <w:ilvl w:val="0"/>
          <w:numId w:val="62"/>
        </w:numPr>
        <w:suppressAutoHyphens w:val="0"/>
        <w:spacing w:line="360" w:lineRule="auto"/>
        <w:ind w:left="360"/>
        <w:jc w:val="both"/>
        <w:rPr>
          <w:lang w:val="en-US"/>
        </w:rPr>
      </w:pPr>
      <w:r>
        <w:rPr>
          <w:lang w:val="en-US"/>
        </w:rPr>
        <w:t xml:space="preserve">Cameron J.S. Lupus nephritis / J.S. Cameron // J. Amer. Soc. Nephrol. – 1999. – </w:t>
      </w:r>
      <w:r>
        <w:rPr>
          <w:color w:val="000000"/>
          <w:lang w:val="en-US"/>
        </w:rPr>
        <w:t>Vol. 10, N 2.</w:t>
      </w:r>
      <w:r>
        <w:rPr>
          <w:lang w:val="en-US"/>
        </w:rPr>
        <w:t xml:space="preserve"> – P. 413-424.</w:t>
      </w:r>
    </w:p>
    <w:p w:rsidR="00CC1CAF" w:rsidRDefault="00CC1CAF" w:rsidP="003142AD">
      <w:pPr>
        <w:numPr>
          <w:ilvl w:val="0"/>
          <w:numId w:val="62"/>
        </w:numPr>
        <w:suppressAutoHyphens w:val="0"/>
        <w:spacing w:line="360" w:lineRule="auto"/>
        <w:ind w:left="360"/>
        <w:jc w:val="both"/>
        <w:rPr>
          <w:lang w:val="en-US"/>
        </w:rPr>
      </w:pPr>
      <w:r>
        <w:rPr>
          <w:lang w:val="en-US"/>
        </w:rPr>
        <w:t>Cameron J.S. Lupus nephritis: an historical perspective 1968-1998 / J.S. Cameron // J. Nephrol. – 1999. –Vol. 12 (Suppl. 2). – P. S 29 – S 41.</w:t>
      </w:r>
    </w:p>
    <w:p w:rsidR="00CC1CAF" w:rsidRDefault="00CC1CAF" w:rsidP="003142AD">
      <w:pPr>
        <w:numPr>
          <w:ilvl w:val="0"/>
          <w:numId w:val="62"/>
        </w:numPr>
        <w:suppressAutoHyphens w:val="0"/>
        <w:spacing w:line="360" w:lineRule="auto"/>
        <w:ind w:left="360"/>
        <w:jc w:val="both"/>
      </w:pPr>
      <w:r>
        <w:rPr>
          <w:lang w:val="en-US"/>
        </w:rPr>
        <w:t xml:space="preserve">Centres for disease control and prevention. Trends in deaths from systemic lupus erythematosus – US, 1979-1998 // MMWR Morb. Mortal. Wkly. Rep. – 2002. – Vol. 51, </w:t>
      </w:r>
      <w:r>
        <w:t>№</w:t>
      </w:r>
      <w:r>
        <w:rPr>
          <w:lang w:val="uk-UA"/>
        </w:rPr>
        <w:t xml:space="preserve"> 17</w:t>
      </w:r>
      <w:r>
        <w:rPr>
          <w:lang w:val="en-US"/>
        </w:rPr>
        <w:t>. – P. 371-374.</w:t>
      </w:r>
    </w:p>
    <w:p w:rsidR="00CC1CAF" w:rsidRDefault="00CC1CAF" w:rsidP="003142AD">
      <w:pPr>
        <w:numPr>
          <w:ilvl w:val="0"/>
          <w:numId w:val="62"/>
        </w:numPr>
        <w:suppressAutoHyphens w:val="0"/>
        <w:spacing w:line="360" w:lineRule="auto"/>
        <w:ind w:left="360"/>
        <w:jc w:val="both"/>
        <w:rPr>
          <w:lang w:val="en-US"/>
        </w:rPr>
      </w:pPr>
      <w:r>
        <w:rPr>
          <w:lang w:val="en-US"/>
        </w:rPr>
        <w:t>Cervera R. Morbidity and mortality in systemic lupus erythematosus during a 5-year period (a multicenter prospective study of 1000 patients) / R.</w:t>
      </w:r>
      <w:r>
        <w:rPr>
          <w:lang w:val="uk-UA"/>
        </w:rPr>
        <w:t xml:space="preserve"> </w:t>
      </w:r>
      <w:r>
        <w:rPr>
          <w:lang w:val="en-US"/>
        </w:rPr>
        <w:t>Cervera, M.A.Khamashta, J.</w:t>
      </w:r>
      <w:r>
        <w:rPr>
          <w:lang w:val="uk-UA"/>
        </w:rPr>
        <w:t xml:space="preserve"> </w:t>
      </w:r>
      <w:r>
        <w:rPr>
          <w:lang w:val="en-US"/>
        </w:rPr>
        <w:t>Font  // Medicine. – 1999. – Vol. 78, № 3. – P. 167-175.</w:t>
      </w:r>
    </w:p>
    <w:p w:rsidR="00CC1CAF" w:rsidRDefault="00CC1CAF" w:rsidP="003142AD">
      <w:pPr>
        <w:numPr>
          <w:ilvl w:val="0"/>
          <w:numId w:val="62"/>
        </w:numPr>
        <w:suppressAutoHyphens w:val="0"/>
        <w:spacing w:line="360" w:lineRule="auto"/>
        <w:ind w:left="360"/>
        <w:jc w:val="both"/>
        <w:rPr>
          <w:lang w:val="en-US"/>
        </w:rPr>
      </w:pPr>
      <w:r>
        <w:rPr>
          <w:lang w:val="en-US"/>
        </w:rPr>
        <w:t xml:space="preserve">Cervera R. Morbidity and mortality in systemic lupus erythematosus during a 10-year period: a comparison of early and late manifestation in a cohort of 1000 patients / R. Cervera, M.A. Khamashta, J. Font  // Medicine. – 2003. – Vol. </w:t>
      </w:r>
      <w:r>
        <w:rPr>
          <w:color w:val="000000"/>
          <w:lang w:val="en-US"/>
        </w:rPr>
        <w:t>82, N 5.</w:t>
      </w:r>
      <w:r>
        <w:rPr>
          <w:lang w:val="en-US"/>
        </w:rPr>
        <w:t xml:space="preserve"> – P. 299-308.</w:t>
      </w:r>
    </w:p>
    <w:p w:rsidR="00CC1CAF" w:rsidRDefault="00CC1CAF" w:rsidP="003142AD">
      <w:pPr>
        <w:numPr>
          <w:ilvl w:val="0"/>
          <w:numId w:val="62"/>
        </w:numPr>
        <w:suppressAutoHyphens w:val="0"/>
        <w:spacing w:line="360" w:lineRule="auto"/>
        <w:ind w:left="360"/>
        <w:jc w:val="both"/>
        <w:rPr>
          <w:lang w:val="en-US"/>
        </w:rPr>
      </w:pPr>
      <w:r>
        <w:rPr>
          <w:lang w:val="en-US"/>
        </w:rPr>
        <w:lastRenderedPageBreak/>
        <w:t xml:space="preserve">Chambers S.A. Treatment adherence and clinical outcome in systemic lupus erythematosus / S.A. Chambers, A. Rahman, D.A. Isenberg // Rheumatology. – 2007. – </w:t>
      </w:r>
      <w:r>
        <w:rPr>
          <w:color w:val="000000"/>
          <w:lang w:val="en-US"/>
        </w:rPr>
        <w:t>Vol. 46, N 6.</w:t>
      </w:r>
      <w:r>
        <w:rPr>
          <w:lang w:val="en-US"/>
        </w:rPr>
        <w:t xml:space="preserve"> – P. 895-898.</w:t>
      </w:r>
    </w:p>
    <w:p w:rsidR="00CC1CAF" w:rsidRDefault="00CC1CAF" w:rsidP="003142AD">
      <w:pPr>
        <w:numPr>
          <w:ilvl w:val="0"/>
          <w:numId w:val="62"/>
        </w:numPr>
        <w:suppressAutoHyphens w:val="0"/>
        <w:spacing w:line="360" w:lineRule="auto"/>
        <w:ind w:left="360"/>
        <w:jc w:val="both"/>
        <w:rPr>
          <w:lang w:val="en-US"/>
        </w:rPr>
      </w:pPr>
      <w:r>
        <w:rPr>
          <w:lang w:val="en-US"/>
        </w:rPr>
        <w:t xml:space="preserve">Chan R.W. Expression of T-bet, a type 1 T-helper cell transcription factor, in the urinary sediment of lupus patients predicts disease flare / R.W. Chan, F.M.M. Lai, E.K.M. Li  // Rheumatology. – 2007. – </w:t>
      </w:r>
      <w:r>
        <w:rPr>
          <w:color w:val="000000"/>
          <w:lang w:val="en-US"/>
        </w:rPr>
        <w:t>Vol. 46, N 1.</w:t>
      </w:r>
      <w:r>
        <w:rPr>
          <w:lang w:val="en-US"/>
        </w:rPr>
        <w:t xml:space="preserve"> – P. 44-48.</w:t>
      </w:r>
    </w:p>
    <w:p w:rsidR="00CC1CAF" w:rsidRDefault="00CC1CAF" w:rsidP="003142AD">
      <w:pPr>
        <w:pStyle w:val="affffffff6"/>
        <w:numPr>
          <w:ilvl w:val="0"/>
          <w:numId w:val="62"/>
        </w:numPr>
        <w:tabs>
          <w:tab w:val="clear" w:pos="4677"/>
          <w:tab w:val="clear" w:pos="9355"/>
        </w:tabs>
        <w:suppressAutoHyphens w:val="0"/>
        <w:spacing w:line="360" w:lineRule="auto"/>
        <w:ind w:left="360"/>
        <w:rPr>
          <w:lang w:val="en-US"/>
        </w:rPr>
      </w:pPr>
      <w:r>
        <w:rPr>
          <w:lang w:val="en-US"/>
        </w:rPr>
        <w:t>Chan T.M. Long-term outcome of patients with diffuse proliferative lupus nephritis treated with prednisolone and oral cyclophosphamide followed by azatioprine / T.M. Chan, K.C. Tse, C.S.O. Tang  // Lupus. – 2005. – Vol. 14, № 1. – P. 1-8.</w:t>
      </w:r>
    </w:p>
    <w:p w:rsidR="00CC1CAF" w:rsidRDefault="00CC1CAF" w:rsidP="003142AD">
      <w:pPr>
        <w:numPr>
          <w:ilvl w:val="0"/>
          <w:numId w:val="62"/>
        </w:numPr>
        <w:suppressAutoHyphens w:val="0"/>
        <w:spacing w:line="360" w:lineRule="auto"/>
        <w:ind w:left="360"/>
        <w:jc w:val="both"/>
        <w:rPr>
          <w:lang w:val="en-US"/>
        </w:rPr>
      </w:pPr>
      <w:r>
        <w:rPr>
          <w:lang w:val="en-US"/>
        </w:rPr>
        <w:t>Chan T.M. Preventing renal failure in patients with severe lupus nephritis / T.M. Chan // Kidney Int. – 2005. – Vol. 67 (Suppl.94). – P. S116-S119.</w:t>
      </w:r>
    </w:p>
    <w:p w:rsidR="00CC1CAF" w:rsidRDefault="00CC1CAF" w:rsidP="003142AD">
      <w:pPr>
        <w:numPr>
          <w:ilvl w:val="0"/>
          <w:numId w:val="62"/>
        </w:numPr>
        <w:suppressAutoHyphens w:val="0"/>
        <w:spacing w:line="360" w:lineRule="auto"/>
        <w:ind w:left="360"/>
        <w:jc w:val="both"/>
        <w:rPr>
          <w:lang w:val="en-US"/>
        </w:rPr>
      </w:pPr>
      <w:r>
        <w:rPr>
          <w:lang w:val="en-US"/>
        </w:rPr>
        <w:t>Chan T.M. Long-term outcome in patients with diffuse proliferative lupus nephritis treated with prednisone and oral cyclophosphamide followed by azatioprine / T.M.Chan, K.C. Tse, C.S.O. Tang  // Lupus. – 2005. – Vol. 14, № 4. – P. 265-272.</w:t>
      </w:r>
    </w:p>
    <w:p w:rsidR="00CC1CAF" w:rsidRDefault="00CC1CAF" w:rsidP="003142AD">
      <w:pPr>
        <w:numPr>
          <w:ilvl w:val="0"/>
          <w:numId w:val="62"/>
        </w:numPr>
        <w:suppressAutoHyphens w:val="0"/>
        <w:spacing w:line="360" w:lineRule="auto"/>
        <w:ind w:left="360"/>
        <w:jc w:val="both"/>
        <w:rPr>
          <w:lang w:val="en-US"/>
        </w:rPr>
      </w:pPr>
      <w:r>
        <w:rPr>
          <w:lang w:val="en-US"/>
        </w:rPr>
        <w:t xml:space="preserve">Chaussy N.O. The effect of race on disease activity in systemic lupus erythematosus / N.O. Chaussy, W. Sibbit, A.D. Bankhurst  // J. Rheumatol. – 2004. – Vol. 31, </w:t>
      </w:r>
      <w:proofErr w:type="gramStart"/>
      <w:r>
        <w:rPr>
          <w:lang w:val="en-US"/>
        </w:rPr>
        <w:t>N .</w:t>
      </w:r>
      <w:proofErr w:type="gramEnd"/>
      <w:r>
        <w:rPr>
          <w:lang w:val="en-US"/>
        </w:rPr>
        <w:t xml:space="preserve"> – P. 915-919.</w:t>
      </w:r>
    </w:p>
    <w:p w:rsidR="00CC1CAF" w:rsidRDefault="00CC1CAF" w:rsidP="003142AD">
      <w:pPr>
        <w:numPr>
          <w:ilvl w:val="0"/>
          <w:numId w:val="62"/>
        </w:numPr>
        <w:suppressAutoHyphens w:val="0"/>
        <w:spacing w:line="360" w:lineRule="auto"/>
        <w:ind w:left="360"/>
        <w:jc w:val="both"/>
        <w:rPr>
          <w:lang w:val="en-US"/>
        </w:rPr>
      </w:pPr>
      <w:r>
        <w:rPr>
          <w:lang w:val="en-US"/>
        </w:rPr>
        <w:t>Churg J. Renal disease / J. Churg, J. Bernstein, R.J. Glassock // Classification and atlas of glomerular disease. – Tokyo; New York, 1995. – P. 151-179.</w:t>
      </w:r>
    </w:p>
    <w:p w:rsidR="00CC1CAF" w:rsidRDefault="00CC1CAF" w:rsidP="003142AD">
      <w:pPr>
        <w:numPr>
          <w:ilvl w:val="0"/>
          <w:numId w:val="62"/>
        </w:numPr>
        <w:suppressAutoHyphens w:val="0"/>
        <w:spacing w:line="360" w:lineRule="auto"/>
        <w:ind w:left="360"/>
        <w:jc w:val="both"/>
        <w:rPr>
          <w:lang w:val="en-US"/>
        </w:rPr>
      </w:pPr>
      <w:r>
        <w:rPr>
          <w:lang w:val="en-US"/>
        </w:rPr>
        <w:t xml:space="preserve">Contreras G. Sequential therapies for proliferative lupus nephritis / G. Contreras, V. Pardo, B. </w:t>
      </w:r>
      <w:proofErr w:type="gramStart"/>
      <w:r>
        <w:rPr>
          <w:lang w:val="en-US"/>
        </w:rPr>
        <w:t>Leclerq  /</w:t>
      </w:r>
      <w:proofErr w:type="gramEnd"/>
      <w:r>
        <w:rPr>
          <w:lang w:val="en-US"/>
        </w:rPr>
        <w:t xml:space="preserve">/ N. Engl. J. Med. – 2004. – </w:t>
      </w:r>
      <w:r>
        <w:rPr>
          <w:color w:val="000000"/>
          <w:lang w:val="en-US"/>
        </w:rPr>
        <w:t>Vol. 350, N 10.</w:t>
      </w:r>
      <w:r>
        <w:rPr>
          <w:lang w:val="en-US"/>
        </w:rPr>
        <w:t xml:space="preserve"> – P. 971-980.</w:t>
      </w:r>
    </w:p>
    <w:p w:rsidR="00CC1CAF" w:rsidRDefault="00CC1CAF" w:rsidP="003142AD">
      <w:pPr>
        <w:pStyle w:val="affffffff6"/>
        <w:numPr>
          <w:ilvl w:val="0"/>
          <w:numId w:val="62"/>
        </w:numPr>
        <w:tabs>
          <w:tab w:val="clear" w:pos="4677"/>
          <w:tab w:val="clear" w:pos="9355"/>
        </w:tabs>
        <w:suppressAutoHyphens w:val="0"/>
        <w:spacing w:line="360" w:lineRule="auto"/>
        <w:ind w:left="360"/>
        <w:rPr>
          <w:lang w:val="en-US"/>
        </w:rPr>
      </w:pPr>
      <w:r>
        <w:rPr>
          <w:lang w:val="en-US"/>
        </w:rPr>
        <w:t xml:space="preserve">Contreras G. Factors associated with poor outcomes in patients with lupus nephritis / G. Contreras, V. Pardo, C. </w:t>
      </w:r>
      <w:proofErr w:type="gramStart"/>
      <w:r>
        <w:rPr>
          <w:lang w:val="en-US"/>
        </w:rPr>
        <w:t>Cely  /</w:t>
      </w:r>
      <w:proofErr w:type="gramEnd"/>
      <w:r>
        <w:rPr>
          <w:lang w:val="en-US"/>
        </w:rPr>
        <w:t>/ Lupus. – 2006. – Vol. 14, № 11. – P. 890-895.</w:t>
      </w:r>
    </w:p>
    <w:p w:rsidR="00CC1CAF" w:rsidRDefault="00CC1CAF" w:rsidP="003142AD">
      <w:pPr>
        <w:numPr>
          <w:ilvl w:val="0"/>
          <w:numId w:val="62"/>
        </w:numPr>
        <w:suppressAutoHyphens w:val="0"/>
        <w:spacing w:line="360" w:lineRule="auto"/>
        <w:ind w:left="360"/>
        <w:jc w:val="both"/>
        <w:rPr>
          <w:lang w:val="en-US"/>
        </w:rPr>
      </w:pPr>
      <w:r>
        <w:rPr>
          <w:lang w:val="en-US"/>
        </w:rPr>
        <w:t xml:space="preserve">Cutler S.G. Maximum utilization of the lifetable method in analyzing survival / S.G. Cutler, F. Ederer // J. Chron. Dis. – </w:t>
      </w:r>
      <w:r>
        <w:rPr>
          <w:color w:val="000000"/>
          <w:lang w:val="en-US"/>
        </w:rPr>
        <w:t>1958.– Vol. 8, N 5.</w:t>
      </w:r>
      <w:r>
        <w:rPr>
          <w:lang w:val="en-US"/>
        </w:rPr>
        <w:t xml:space="preserve"> – P. 699-712.</w:t>
      </w:r>
    </w:p>
    <w:p w:rsidR="00CC1CAF" w:rsidRDefault="00CC1CAF" w:rsidP="003142AD">
      <w:pPr>
        <w:pStyle w:val="affffffff6"/>
        <w:numPr>
          <w:ilvl w:val="0"/>
          <w:numId w:val="62"/>
        </w:numPr>
        <w:tabs>
          <w:tab w:val="clear" w:pos="4677"/>
          <w:tab w:val="clear" w:pos="9355"/>
        </w:tabs>
        <w:suppressAutoHyphens w:val="0"/>
        <w:spacing w:line="360" w:lineRule="auto"/>
        <w:ind w:left="360"/>
        <w:rPr>
          <w:lang w:val="en-US"/>
        </w:rPr>
      </w:pPr>
      <w:r>
        <w:rPr>
          <w:lang w:val="en-US"/>
        </w:rPr>
        <w:t xml:space="preserve"> Daugas E. Antiphospholipid syndrome in systemic lupus erythematosus / E. Daugas, D. Nochy, D.L.T. Huong // J. Amer. Soc. Nephrol. – 2002. – Vol. 13, № 1. – P. 57-59.</w:t>
      </w:r>
    </w:p>
    <w:p w:rsidR="00CC1CAF" w:rsidRDefault="00CC1CAF" w:rsidP="003142AD">
      <w:pPr>
        <w:numPr>
          <w:ilvl w:val="0"/>
          <w:numId w:val="62"/>
        </w:numPr>
        <w:suppressAutoHyphens w:val="0"/>
        <w:spacing w:line="360" w:lineRule="auto"/>
        <w:ind w:left="360"/>
        <w:jc w:val="both"/>
        <w:rPr>
          <w:lang w:val="en-US"/>
        </w:rPr>
      </w:pPr>
      <w:r>
        <w:rPr>
          <w:lang w:val="en-US"/>
        </w:rPr>
        <w:t xml:space="preserve">Dooley M.A. Newer therapeutic approaches for systemic lupus erythematosus: immunosuppressive agents / M.A. Dooley, E.M. Ginzler // Rheumatol. Dis. Clin. N. Amer. – 2006. – Vol. 32, </w:t>
      </w:r>
      <w:proofErr w:type="gramStart"/>
      <w:r>
        <w:rPr>
          <w:lang w:val="en-US"/>
        </w:rPr>
        <w:t>N .</w:t>
      </w:r>
      <w:proofErr w:type="gramEnd"/>
      <w:r>
        <w:rPr>
          <w:lang w:val="en-US"/>
        </w:rPr>
        <w:t xml:space="preserve"> – P. 91-102.</w:t>
      </w:r>
    </w:p>
    <w:p w:rsidR="00CC1CAF" w:rsidRDefault="00CC1CAF" w:rsidP="003142AD">
      <w:pPr>
        <w:numPr>
          <w:ilvl w:val="0"/>
          <w:numId w:val="62"/>
        </w:numPr>
        <w:suppressAutoHyphens w:val="0"/>
        <w:spacing w:line="360" w:lineRule="auto"/>
        <w:ind w:left="360"/>
        <w:jc w:val="both"/>
        <w:rPr>
          <w:lang w:val="en-US"/>
        </w:rPr>
      </w:pPr>
      <w:r>
        <w:rPr>
          <w:lang w:val="en-US"/>
        </w:rPr>
        <w:t xml:space="preserve">Doria A. Long-term prognosis and causes of death in systemic lupus erythematosus / A. Doria, L. Iaccarino, A. Ghirardello  // Amer. J. Med. – 2006. – </w:t>
      </w:r>
      <w:r>
        <w:rPr>
          <w:color w:val="000000"/>
          <w:lang w:val="en-US"/>
        </w:rPr>
        <w:t>Vol. 119, N 8.</w:t>
      </w:r>
      <w:r>
        <w:rPr>
          <w:lang w:val="en-US"/>
        </w:rPr>
        <w:t xml:space="preserve"> – P. 700-706.</w:t>
      </w:r>
    </w:p>
    <w:p w:rsidR="00CC1CAF" w:rsidRDefault="00CC1CAF" w:rsidP="003142AD">
      <w:pPr>
        <w:numPr>
          <w:ilvl w:val="0"/>
          <w:numId w:val="62"/>
        </w:numPr>
        <w:suppressAutoHyphens w:val="0"/>
        <w:spacing w:line="360" w:lineRule="auto"/>
        <w:ind w:left="360"/>
        <w:jc w:val="both"/>
        <w:rPr>
          <w:lang w:val="en-US"/>
        </w:rPr>
      </w:pPr>
      <w:r>
        <w:rPr>
          <w:lang w:val="en-US"/>
        </w:rPr>
        <w:lastRenderedPageBreak/>
        <w:t xml:space="preserve">El Nachmi M. Relapses of lupus nephritis: incidence, risk factors, serology and impact on outcome / M. El Nachmi, M. Jadoul, C. </w:t>
      </w:r>
      <w:proofErr w:type="gramStart"/>
      <w:r>
        <w:rPr>
          <w:lang w:val="en-US"/>
        </w:rPr>
        <w:t>Lefebvre  /</w:t>
      </w:r>
      <w:proofErr w:type="gramEnd"/>
      <w:r>
        <w:rPr>
          <w:lang w:val="en-US"/>
        </w:rPr>
        <w:t xml:space="preserve">/ Lupus. – 2003. – </w:t>
      </w:r>
      <w:r>
        <w:rPr>
          <w:color w:val="000000"/>
          <w:lang w:val="en-US"/>
        </w:rPr>
        <w:t>Vol. 12, N 9.</w:t>
      </w:r>
      <w:r>
        <w:rPr>
          <w:lang w:val="en-US"/>
        </w:rPr>
        <w:t xml:space="preserve"> – P. 692-696.</w:t>
      </w:r>
    </w:p>
    <w:p w:rsidR="00CC1CAF" w:rsidRDefault="00CC1CAF" w:rsidP="003142AD">
      <w:pPr>
        <w:numPr>
          <w:ilvl w:val="0"/>
          <w:numId w:val="62"/>
        </w:numPr>
        <w:suppressAutoHyphens w:val="0"/>
        <w:spacing w:line="360" w:lineRule="auto"/>
        <w:ind w:left="360"/>
        <w:jc w:val="both"/>
        <w:rPr>
          <w:lang w:val="en-US"/>
        </w:rPr>
      </w:pPr>
      <w:r>
        <w:rPr>
          <w:lang w:val="en-US"/>
        </w:rPr>
        <w:t>Flanc R.S. Treatment of diffuse proliferative lupus nephritis: a meta-analysis of randomized controlled trials / R.S. Flanc, M.A. Roberts, G.F.M. Strippoli // Amer. J. Kidney Dis. – 2004. – Vol. 43, № 1. – P. 197-208.</w:t>
      </w:r>
    </w:p>
    <w:p w:rsidR="00CC1CAF" w:rsidRDefault="00CC1CAF" w:rsidP="003142AD">
      <w:pPr>
        <w:numPr>
          <w:ilvl w:val="0"/>
          <w:numId w:val="62"/>
        </w:numPr>
        <w:suppressAutoHyphens w:val="0"/>
        <w:spacing w:line="360" w:lineRule="auto"/>
        <w:ind w:left="360"/>
        <w:jc w:val="both"/>
        <w:rPr>
          <w:lang w:val="en-US"/>
        </w:rPr>
      </w:pPr>
      <w:r>
        <w:rPr>
          <w:lang w:val="en-US"/>
        </w:rPr>
        <w:t>Fogo A.B. Approach to renal biopsy / A.B. Fogo // Amer. J. Kidney Dis. – 2003. – Vol. 42, № 4. – Р.826-836.</w:t>
      </w:r>
    </w:p>
    <w:p w:rsidR="00CC1CAF" w:rsidRDefault="00CC1CAF" w:rsidP="003142AD">
      <w:pPr>
        <w:numPr>
          <w:ilvl w:val="0"/>
          <w:numId w:val="62"/>
        </w:numPr>
        <w:suppressAutoHyphens w:val="0"/>
        <w:spacing w:line="360" w:lineRule="auto"/>
        <w:ind w:left="360"/>
        <w:jc w:val="both"/>
        <w:rPr>
          <w:lang w:val="en-US"/>
        </w:rPr>
      </w:pPr>
      <w:r>
        <w:rPr>
          <w:lang w:val="en-US"/>
        </w:rPr>
        <w:t xml:space="preserve">Fujii K. Quantitative analysis of interstitial alteration in lupus nephritis </w:t>
      </w:r>
      <w:r>
        <w:rPr>
          <w:lang w:val="uk-UA"/>
        </w:rPr>
        <w:t xml:space="preserve">/ </w:t>
      </w:r>
      <w:r>
        <w:rPr>
          <w:lang w:val="en-US"/>
        </w:rPr>
        <w:t>K. Fujii</w:t>
      </w:r>
      <w:r>
        <w:rPr>
          <w:lang w:val="uk-UA"/>
        </w:rPr>
        <w:t>,</w:t>
      </w:r>
      <w:r>
        <w:rPr>
          <w:lang w:val="en-US"/>
        </w:rPr>
        <w:t xml:space="preserve"> Y.</w:t>
      </w:r>
      <w:r>
        <w:rPr>
          <w:lang w:val="uk-UA"/>
        </w:rPr>
        <w:t xml:space="preserve"> </w:t>
      </w:r>
      <w:r>
        <w:rPr>
          <w:lang w:val="en-US"/>
        </w:rPr>
        <w:t>Kobayashi // Virch. Arch. – 1988. – Vol.45</w:t>
      </w:r>
      <w:r>
        <w:rPr>
          <w:lang w:val="uk-UA"/>
        </w:rPr>
        <w:t>, № 1</w:t>
      </w:r>
      <w:r>
        <w:rPr>
          <w:lang w:val="en-US"/>
        </w:rPr>
        <w:t>. – P. 45-51.</w:t>
      </w:r>
      <w:r>
        <w:rPr>
          <w:lang w:val="uk-UA"/>
        </w:rPr>
        <w:t xml:space="preserve"> </w:t>
      </w:r>
    </w:p>
    <w:p w:rsidR="00CC1CAF" w:rsidRDefault="00CC1CAF" w:rsidP="003142AD">
      <w:pPr>
        <w:numPr>
          <w:ilvl w:val="0"/>
          <w:numId w:val="62"/>
        </w:numPr>
        <w:suppressAutoHyphens w:val="0"/>
        <w:spacing w:line="360" w:lineRule="auto"/>
        <w:ind w:left="360"/>
        <w:jc w:val="both"/>
        <w:rPr>
          <w:lang w:val="en-US"/>
        </w:rPr>
      </w:pPr>
      <w:r>
        <w:rPr>
          <w:lang w:val="en-US"/>
        </w:rPr>
        <w:t xml:space="preserve">Funauchi H. Survival study by organ disorders in 306 Japanese patients with systemic lupus erythematosus: results from a single center / H. Funauchi, H. Shimadzu, C. </w:t>
      </w:r>
      <w:proofErr w:type="gramStart"/>
      <w:r>
        <w:rPr>
          <w:lang w:val="en-US"/>
        </w:rPr>
        <w:t>Tamaki  /</w:t>
      </w:r>
      <w:proofErr w:type="gramEnd"/>
      <w:r>
        <w:rPr>
          <w:lang w:val="en-US"/>
        </w:rPr>
        <w:t xml:space="preserve">/ Rheumatol. Int. – 2007. – </w:t>
      </w:r>
      <w:r>
        <w:rPr>
          <w:color w:val="000000"/>
          <w:lang w:val="en-US"/>
        </w:rPr>
        <w:t>Vol. 27, N 3.</w:t>
      </w:r>
      <w:r>
        <w:rPr>
          <w:lang w:val="en-US"/>
        </w:rPr>
        <w:t xml:space="preserve"> – P. 243-249.</w:t>
      </w:r>
    </w:p>
    <w:p w:rsidR="00CC1CAF" w:rsidRDefault="00CC1CAF" w:rsidP="003142AD">
      <w:pPr>
        <w:numPr>
          <w:ilvl w:val="0"/>
          <w:numId w:val="62"/>
        </w:numPr>
        <w:suppressAutoHyphens w:val="0"/>
        <w:spacing w:line="360" w:lineRule="auto"/>
        <w:ind w:left="360"/>
        <w:jc w:val="both"/>
        <w:rPr>
          <w:lang w:val="en-US"/>
        </w:rPr>
      </w:pPr>
      <w:r>
        <w:rPr>
          <w:lang w:val="en-US"/>
        </w:rPr>
        <w:t xml:space="preserve">Furness P.N. Interobserver reproducibility and application of the ISN/RPS classification of lupus nephritis – a UK-wide study / P.N. Furness, N. Taub // Amer. J. Surg. Pathol. – 2006. – </w:t>
      </w:r>
      <w:r>
        <w:rPr>
          <w:color w:val="000000"/>
          <w:lang w:val="en-US"/>
        </w:rPr>
        <w:t>Vol. 30, N 8.</w:t>
      </w:r>
      <w:r>
        <w:rPr>
          <w:lang w:val="en-US"/>
        </w:rPr>
        <w:t xml:space="preserve"> – P. 1030-1035.</w:t>
      </w:r>
    </w:p>
    <w:p w:rsidR="00CC1CAF" w:rsidRDefault="00CC1CAF" w:rsidP="003142AD">
      <w:pPr>
        <w:numPr>
          <w:ilvl w:val="0"/>
          <w:numId w:val="62"/>
        </w:numPr>
        <w:suppressAutoHyphens w:val="0"/>
        <w:spacing w:line="360" w:lineRule="auto"/>
        <w:ind w:left="360"/>
        <w:jc w:val="both"/>
        <w:rPr>
          <w:lang w:val="en-US"/>
        </w:rPr>
      </w:pPr>
      <w:r>
        <w:rPr>
          <w:lang w:val="en-US"/>
        </w:rPr>
        <w:t xml:space="preserve">Ginzler E.M. Mycophenolate mofetil or cyclophosphamide for lupus nephritis / E.M. Ginzler, M.A. Dooley, C. </w:t>
      </w:r>
      <w:proofErr w:type="gramStart"/>
      <w:r>
        <w:rPr>
          <w:lang w:val="en-US"/>
        </w:rPr>
        <w:t>Aranow  /</w:t>
      </w:r>
      <w:proofErr w:type="gramEnd"/>
      <w:r>
        <w:rPr>
          <w:lang w:val="en-US"/>
        </w:rPr>
        <w:t xml:space="preserve">/ N. Engl. J. Med. – 2005. – Vol. 353, </w:t>
      </w:r>
      <w:r>
        <w:rPr>
          <w:lang w:val="uk-UA"/>
        </w:rPr>
        <w:t>№</w:t>
      </w:r>
      <w:r>
        <w:rPr>
          <w:lang w:val="en-US"/>
        </w:rPr>
        <w:t xml:space="preserve"> 21. – P. 2219-2228.</w:t>
      </w:r>
    </w:p>
    <w:p w:rsidR="00CC1CAF" w:rsidRDefault="00CC1CAF" w:rsidP="003142AD">
      <w:pPr>
        <w:numPr>
          <w:ilvl w:val="0"/>
          <w:numId w:val="62"/>
        </w:numPr>
        <w:suppressAutoHyphens w:val="0"/>
        <w:spacing w:line="360" w:lineRule="auto"/>
        <w:ind w:left="360"/>
        <w:jc w:val="both"/>
        <w:rPr>
          <w:lang w:val="en-US"/>
        </w:rPr>
      </w:pPr>
      <w:r>
        <w:rPr>
          <w:lang w:val="en-US"/>
        </w:rPr>
        <w:t>Grootscholten C. Discontinuation of immunosuppression in proliferative lupus nephritis: is it possible? / C. Grootscholten, J.H.M. Berden // Nephrol.</w:t>
      </w:r>
      <w:r>
        <w:rPr>
          <w:lang w:val="uk-UA"/>
        </w:rPr>
        <w:t xml:space="preserve"> </w:t>
      </w:r>
      <w:r>
        <w:rPr>
          <w:lang w:val="en-US"/>
        </w:rPr>
        <w:t>Dial.</w:t>
      </w:r>
      <w:r>
        <w:rPr>
          <w:lang w:val="uk-UA"/>
        </w:rPr>
        <w:t xml:space="preserve"> </w:t>
      </w:r>
      <w:r>
        <w:rPr>
          <w:lang w:val="en-US"/>
        </w:rPr>
        <w:t>Transplant. – 2007. – Vol. 21, № 6. – P. 1465-1469.</w:t>
      </w:r>
    </w:p>
    <w:p w:rsidR="00CC1CAF" w:rsidRDefault="00CC1CAF" w:rsidP="003142AD">
      <w:pPr>
        <w:numPr>
          <w:ilvl w:val="0"/>
          <w:numId w:val="62"/>
        </w:numPr>
        <w:suppressAutoHyphens w:val="0"/>
        <w:spacing w:line="360" w:lineRule="auto"/>
        <w:ind w:left="360"/>
        <w:jc w:val="both"/>
        <w:rPr>
          <w:lang w:val="fr-FR"/>
        </w:rPr>
      </w:pPr>
      <w:r>
        <w:rPr>
          <w:lang w:val="fr-FR"/>
        </w:rPr>
        <w:t>Grootscholten C.</w:t>
      </w:r>
      <w:r>
        <w:rPr>
          <w:lang w:val="en-US"/>
        </w:rPr>
        <w:t xml:space="preserve"> </w:t>
      </w:r>
      <w:r>
        <w:rPr>
          <w:lang w:val="fr-FR"/>
        </w:rPr>
        <w:t>Azatioprine / methylprednisolone versus cyclophosphamide in proliferative lupus nephritis. A randomized controlled trial / C. Grootscholten, G. Ligtenberg, E.C. Hagen  // Kidney Int. – 2006. – Vol. 70</w:t>
      </w:r>
      <w:r>
        <w:rPr>
          <w:lang w:val="uk-UA"/>
        </w:rPr>
        <w:t>, №</w:t>
      </w:r>
      <w:r>
        <w:rPr>
          <w:lang w:val="fr-FR"/>
        </w:rPr>
        <w:t xml:space="preserve"> 8. – P. 732-742.</w:t>
      </w:r>
    </w:p>
    <w:p w:rsidR="00CC1CAF" w:rsidRDefault="00CC1CAF" w:rsidP="003142AD">
      <w:pPr>
        <w:numPr>
          <w:ilvl w:val="0"/>
          <w:numId w:val="62"/>
        </w:numPr>
        <w:suppressAutoHyphens w:val="0"/>
        <w:spacing w:line="360" w:lineRule="auto"/>
        <w:ind w:left="360"/>
        <w:jc w:val="both"/>
        <w:rPr>
          <w:lang w:val="en-US"/>
        </w:rPr>
      </w:pPr>
      <w:r>
        <w:rPr>
          <w:lang w:val="en-US"/>
        </w:rPr>
        <w:t>Haddouk S. Clinical significance of antinucleosome antibodies Tunisian systemic lupus erythematosus patients / S. Haddouk, M. Ben Ayed, S. Baklouti  // Clin. Rheumatol. – 2005. – Vol. 24, № 3. – P. 219-222.</w:t>
      </w:r>
    </w:p>
    <w:p w:rsidR="00CC1CAF" w:rsidRDefault="00CC1CAF" w:rsidP="003142AD">
      <w:pPr>
        <w:numPr>
          <w:ilvl w:val="0"/>
          <w:numId w:val="62"/>
        </w:numPr>
        <w:suppressAutoHyphens w:val="0"/>
        <w:spacing w:line="360" w:lineRule="auto"/>
        <w:ind w:left="360"/>
        <w:jc w:val="both"/>
        <w:rPr>
          <w:lang w:val="en-US"/>
        </w:rPr>
      </w:pPr>
      <w:r>
        <w:rPr>
          <w:lang w:val="en-US"/>
        </w:rPr>
        <w:t>Han B.K. Increased prevalence of activated CD70+CD4+ T cells in the periphery of patients with systemic lupus erythematosus / B.K. Han, A.M. White, K.H. Dao  // Lupus. – 2005. – Vol. 14, № 8. – P. 598-606.</w:t>
      </w:r>
    </w:p>
    <w:p w:rsidR="00CC1CAF" w:rsidRDefault="00CC1CAF" w:rsidP="003142AD">
      <w:pPr>
        <w:numPr>
          <w:ilvl w:val="0"/>
          <w:numId w:val="62"/>
        </w:numPr>
        <w:suppressAutoHyphens w:val="0"/>
        <w:spacing w:line="360" w:lineRule="auto"/>
        <w:ind w:left="360"/>
        <w:jc w:val="both"/>
        <w:rPr>
          <w:lang w:val="en-US"/>
        </w:rPr>
      </w:pPr>
      <w:r>
        <w:rPr>
          <w:lang w:val="en-US"/>
        </w:rPr>
        <w:t xml:space="preserve">Hernandez-Cortes C.-J. Antihistone and anti-double-stranded deoxyribonucleic acid antibodies are associated with renal disease in systemic lupus erythematosus / C.-J. Hernandez, J. Ordi-Ros, M. </w:t>
      </w:r>
      <w:proofErr w:type="gramStart"/>
      <w:r>
        <w:rPr>
          <w:lang w:val="en-US"/>
        </w:rPr>
        <w:t>Labrador  /</w:t>
      </w:r>
      <w:proofErr w:type="gramEnd"/>
      <w:r>
        <w:rPr>
          <w:lang w:val="en-US"/>
        </w:rPr>
        <w:t xml:space="preserve">/ Amer. J. Med. – 2004. – </w:t>
      </w:r>
      <w:r>
        <w:rPr>
          <w:color w:val="000000"/>
          <w:lang w:val="en-US"/>
        </w:rPr>
        <w:t>Vol. 116, N 3.</w:t>
      </w:r>
      <w:r>
        <w:rPr>
          <w:lang w:val="en-US"/>
        </w:rPr>
        <w:t xml:space="preserve"> – P. 165-173.</w:t>
      </w:r>
    </w:p>
    <w:p w:rsidR="00CC1CAF" w:rsidRDefault="00CC1CAF" w:rsidP="003142AD">
      <w:pPr>
        <w:numPr>
          <w:ilvl w:val="0"/>
          <w:numId w:val="62"/>
        </w:numPr>
        <w:suppressAutoHyphens w:val="0"/>
        <w:spacing w:line="360" w:lineRule="auto"/>
        <w:ind w:left="360"/>
        <w:jc w:val="both"/>
        <w:rPr>
          <w:lang w:val="en-US"/>
        </w:rPr>
      </w:pPr>
      <w:r>
        <w:rPr>
          <w:lang w:val="en-US"/>
        </w:rPr>
        <w:t xml:space="preserve">Hertig A. Role of coagulation / fibrinolysis system in fibrin-associated glomerular injury / A. Hertig, E. Rondeau// J. Amer. Soc. Nephrol. – 2004. – Vol. </w:t>
      </w:r>
      <w:r>
        <w:rPr>
          <w:color w:val="000000"/>
          <w:lang w:val="en-US"/>
        </w:rPr>
        <w:t>15, N 4. –</w:t>
      </w:r>
      <w:r>
        <w:rPr>
          <w:lang w:val="en-US"/>
        </w:rPr>
        <w:t xml:space="preserve"> P. 844-853.</w:t>
      </w:r>
    </w:p>
    <w:p w:rsidR="00CC1CAF" w:rsidRDefault="00CC1CAF" w:rsidP="003142AD">
      <w:pPr>
        <w:numPr>
          <w:ilvl w:val="0"/>
          <w:numId w:val="62"/>
        </w:numPr>
        <w:suppressAutoHyphens w:val="0"/>
        <w:spacing w:line="360" w:lineRule="auto"/>
        <w:ind w:left="360"/>
        <w:jc w:val="both"/>
        <w:rPr>
          <w:lang w:val="en-US"/>
        </w:rPr>
      </w:pPr>
      <w:r>
        <w:rPr>
          <w:lang w:val="en-US"/>
        </w:rPr>
        <w:lastRenderedPageBreak/>
        <w:t xml:space="preserve">Hill G.S. Outcome of relapse in lupus nephritis: roles of reversal of renal fibrosis and response of inflammation to therapy / G.S. Hill, M. Delahousse, D. </w:t>
      </w:r>
      <w:proofErr w:type="gramStart"/>
      <w:r>
        <w:rPr>
          <w:lang w:val="en-US"/>
        </w:rPr>
        <w:t>Nochy  /</w:t>
      </w:r>
      <w:proofErr w:type="gramEnd"/>
      <w:r>
        <w:rPr>
          <w:lang w:val="en-US"/>
        </w:rPr>
        <w:t>/ Kidney Int. – 2002. – Vol</w:t>
      </w:r>
      <w:r>
        <w:rPr>
          <w:color w:val="000000"/>
          <w:lang w:val="en-US"/>
        </w:rPr>
        <w:t>. 61, N 6.</w:t>
      </w:r>
      <w:r>
        <w:rPr>
          <w:lang w:val="en-US"/>
        </w:rPr>
        <w:t xml:space="preserve"> – P. 2176-2186.</w:t>
      </w:r>
    </w:p>
    <w:p w:rsidR="00CC1CAF" w:rsidRDefault="00CC1CAF" w:rsidP="003142AD">
      <w:pPr>
        <w:pStyle w:val="affffffff6"/>
        <w:numPr>
          <w:ilvl w:val="0"/>
          <w:numId w:val="62"/>
        </w:numPr>
        <w:tabs>
          <w:tab w:val="clear" w:pos="4677"/>
          <w:tab w:val="clear" w:pos="9355"/>
        </w:tabs>
        <w:suppressAutoHyphens w:val="0"/>
        <w:spacing w:line="360" w:lineRule="auto"/>
        <w:ind w:left="360"/>
        <w:rPr>
          <w:lang w:val="en-US"/>
        </w:rPr>
      </w:pPr>
      <w:r>
        <w:rPr>
          <w:lang w:val="en-US"/>
        </w:rPr>
        <w:t>Hochberg M.C. Updating the American College of Rheumatology revised criteria for the classification of systemic lupus erythematosus / M.C. Hochberg // Arthr. Rheum. – 1997. – Vol. 40, № 9. – P. 1725-1729.</w:t>
      </w:r>
    </w:p>
    <w:p w:rsidR="00CC1CAF" w:rsidRDefault="00CC1CAF" w:rsidP="003142AD">
      <w:pPr>
        <w:numPr>
          <w:ilvl w:val="0"/>
          <w:numId w:val="62"/>
        </w:numPr>
        <w:suppressAutoHyphens w:val="0"/>
        <w:spacing w:line="360" w:lineRule="auto"/>
        <w:ind w:left="360"/>
        <w:jc w:val="both"/>
        <w:rPr>
          <w:lang w:val="en-US"/>
        </w:rPr>
      </w:pPr>
      <w:r>
        <w:rPr>
          <w:lang w:val="en-US"/>
        </w:rPr>
        <w:t>Hoffman I.E.A. Specific antinuclear antibodies are associated with clinical features in systemic lupus erythematosus / I.E.A. Hoffman, I. Peene, L. Meheus  // Ann. Rheum. Med. – 2004. – Vol. 63, № 9. – P. 1155-1158.</w:t>
      </w:r>
    </w:p>
    <w:p w:rsidR="00CC1CAF" w:rsidRDefault="00CC1CAF" w:rsidP="003142AD">
      <w:pPr>
        <w:numPr>
          <w:ilvl w:val="0"/>
          <w:numId w:val="62"/>
        </w:numPr>
        <w:suppressAutoHyphens w:val="0"/>
        <w:spacing w:line="360" w:lineRule="auto"/>
        <w:ind w:left="360"/>
        <w:jc w:val="both"/>
        <w:rPr>
          <w:lang w:val="en-US"/>
        </w:rPr>
      </w:pPr>
      <w:r>
        <w:rPr>
          <w:lang w:val="en-US"/>
        </w:rPr>
        <w:t xml:space="preserve">Houman M.H. Systemic lupus erythematosus in Tunicia: demographic and clinical analysis of 100 patients / M.H. Houman, M. Smiti-Khanfir, I. Ben </w:t>
      </w:r>
      <w:proofErr w:type="gramStart"/>
      <w:r>
        <w:rPr>
          <w:lang w:val="en-US"/>
        </w:rPr>
        <w:t>Ghorbell  /</w:t>
      </w:r>
      <w:proofErr w:type="gramEnd"/>
      <w:r>
        <w:rPr>
          <w:lang w:val="en-US"/>
        </w:rPr>
        <w:t xml:space="preserve">/ Lupus. – 2004. – Vol. 13, </w:t>
      </w:r>
      <w:r>
        <w:rPr>
          <w:lang w:val="uk-UA"/>
        </w:rPr>
        <w:t>№</w:t>
      </w:r>
      <w:r>
        <w:rPr>
          <w:lang w:val="en-US"/>
        </w:rPr>
        <w:t xml:space="preserve"> 3. – P. 204-211.</w:t>
      </w:r>
    </w:p>
    <w:p w:rsidR="00CC1CAF" w:rsidRDefault="00CC1CAF" w:rsidP="003142AD">
      <w:pPr>
        <w:numPr>
          <w:ilvl w:val="0"/>
          <w:numId w:val="62"/>
        </w:numPr>
        <w:suppressAutoHyphens w:val="0"/>
        <w:spacing w:line="360" w:lineRule="auto"/>
        <w:ind w:left="360"/>
        <w:jc w:val="both"/>
        <w:rPr>
          <w:lang w:val="en-US"/>
        </w:rPr>
      </w:pPr>
      <w:r>
        <w:rPr>
          <w:lang w:val="en-US"/>
        </w:rPr>
        <w:t xml:space="preserve">Houssiau F.A. Management of lupus nephritis: an update / F.A. Houssiau // J. Amer. Soc. Nephrol. – 2004. – </w:t>
      </w:r>
      <w:r>
        <w:rPr>
          <w:color w:val="000000"/>
          <w:lang w:val="en-US"/>
        </w:rPr>
        <w:t>Vol. 15, N 10.</w:t>
      </w:r>
      <w:r>
        <w:rPr>
          <w:lang w:val="en-US"/>
        </w:rPr>
        <w:t xml:space="preserve"> – P. 2694-2704.</w:t>
      </w:r>
    </w:p>
    <w:p w:rsidR="00CC1CAF" w:rsidRDefault="00CC1CAF" w:rsidP="003142AD">
      <w:pPr>
        <w:pStyle w:val="affffffff6"/>
        <w:numPr>
          <w:ilvl w:val="0"/>
          <w:numId w:val="62"/>
        </w:numPr>
        <w:tabs>
          <w:tab w:val="clear" w:pos="4677"/>
          <w:tab w:val="clear" w:pos="9355"/>
        </w:tabs>
        <w:suppressAutoHyphens w:val="0"/>
        <w:spacing w:line="360" w:lineRule="auto"/>
        <w:ind w:left="360"/>
        <w:rPr>
          <w:lang w:val="en-US"/>
        </w:rPr>
      </w:pPr>
      <w:r>
        <w:rPr>
          <w:lang w:val="en-US"/>
        </w:rPr>
        <w:t>Houssiau F.A. Cyclophosphamide in lupus nephritis / F.A. Houssiau // Lupus. – 2005. – Vol. 14, № 1. – P. 53- 58.</w:t>
      </w:r>
    </w:p>
    <w:p w:rsidR="00CC1CAF" w:rsidRDefault="00CC1CAF" w:rsidP="003142AD">
      <w:pPr>
        <w:numPr>
          <w:ilvl w:val="0"/>
          <w:numId w:val="62"/>
        </w:numPr>
        <w:suppressAutoHyphens w:val="0"/>
        <w:spacing w:line="360" w:lineRule="auto"/>
        <w:ind w:left="360"/>
        <w:jc w:val="both"/>
        <w:rPr>
          <w:lang w:val="en-US"/>
        </w:rPr>
      </w:pPr>
      <w:r>
        <w:rPr>
          <w:lang w:val="en-US"/>
        </w:rPr>
        <w:t xml:space="preserve">Houssiau F.A. Immunosuppressive therapy in lupus nephritis: the Euro-Lupus Nephritis Trial, a randomized trial of low-dose versus high-dose intravenous cyclophosphamide / F.A.Houssiau, C.Vasconcelos, </w:t>
      </w:r>
      <w:proofErr w:type="gramStart"/>
      <w:r>
        <w:rPr>
          <w:lang w:val="en-US"/>
        </w:rPr>
        <w:t>D.D’Cruz  /</w:t>
      </w:r>
      <w:proofErr w:type="gramEnd"/>
      <w:r>
        <w:rPr>
          <w:lang w:val="en-US"/>
        </w:rPr>
        <w:t xml:space="preserve">/ Arthr. Rheum. – 2002. – </w:t>
      </w:r>
      <w:r>
        <w:rPr>
          <w:color w:val="000000"/>
          <w:lang w:val="en-US"/>
        </w:rPr>
        <w:t>Vol. 46, N 8.</w:t>
      </w:r>
      <w:r>
        <w:rPr>
          <w:lang w:val="en-US"/>
        </w:rPr>
        <w:t xml:space="preserve"> – P. 2121-2131.</w:t>
      </w:r>
    </w:p>
    <w:p w:rsidR="00CC1CAF" w:rsidRDefault="00CC1CAF" w:rsidP="003142AD">
      <w:pPr>
        <w:numPr>
          <w:ilvl w:val="0"/>
          <w:numId w:val="62"/>
        </w:numPr>
        <w:suppressAutoHyphens w:val="0"/>
        <w:spacing w:line="360" w:lineRule="auto"/>
        <w:ind w:left="360"/>
        <w:jc w:val="both"/>
        <w:rPr>
          <w:lang w:val="en-US"/>
        </w:rPr>
      </w:pPr>
      <w:r>
        <w:rPr>
          <w:lang w:val="en-US"/>
        </w:rPr>
        <w:t xml:space="preserve">Howie A.J. Powerful morphometric indicator of prognosis in lupus nephritis / A.J. Howie, N. Turhan, D. Adu // Quart. J. Med. – 2003. – </w:t>
      </w:r>
      <w:r>
        <w:rPr>
          <w:color w:val="000000"/>
          <w:lang w:val="en-US"/>
        </w:rPr>
        <w:t>Vol. 96, N 6.</w:t>
      </w:r>
      <w:r>
        <w:rPr>
          <w:lang w:val="en-US"/>
        </w:rPr>
        <w:t xml:space="preserve"> – P. 411-420.</w:t>
      </w:r>
    </w:p>
    <w:p w:rsidR="00CC1CAF" w:rsidRDefault="00CC1CAF" w:rsidP="003142AD">
      <w:pPr>
        <w:numPr>
          <w:ilvl w:val="0"/>
          <w:numId w:val="62"/>
        </w:numPr>
        <w:suppressAutoHyphens w:val="0"/>
        <w:spacing w:line="360" w:lineRule="auto"/>
        <w:ind w:left="360"/>
        <w:jc w:val="both"/>
        <w:rPr>
          <w:lang w:val="en-US"/>
        </w:rPr>
      </w:pPr>
      <w:r>
        <w:rPr>
          <w:lang w:val="en-US"/>
        </w:rPr>
        <w:t xml:space="preserve">Hu W. Mycophenolate mofetil versus cyclophosphamide therapy for patients with diffuse proliferative lupus nephritis / W. Hu, Z. Liu, H. Chen  // Clin. Med. J. – 2002. – </w:t>
      </w:r>
      <w:r>
        <w:rPr>
          <w:color w:val="000000"/>
          <w:lang w:val="en-US"/>
        </w:rPr>
        <w:t>Vol. 115, N 6.</w:t>
      </w:r>
      <w:r>
        <w:rPr>
          <w:lang w:val="en-US"/>
        </w:rPr>
        <w:t xml:space="preserve"> – P. 705-709.</w:t>
      </w:r>
    </w:p>
    <w:p w:rsidR="00CC1CAF" w:rsidRDefault="00CC1CAF" w:rsidP="003142AD">
      <w:pPr>
        <w:numPr>
          <w:ilvl w:val="0"/>
          <w:numId w:val="62"/>
        </w:numPr>
        <w:suppressAutoHyphens w:val="0"/>
        <w:spacing w:line="360" w:lineRule="auto"/>
        <w:ind w:left="360"/>
        <w:jc w:val="both"/>
        <w:rPr>
          <w:lang w:val="en-US"/>
        </w:rPr>
      </w:pPr>
      <w:r>
        <w:rPr>
          <w:lang w:val="en-US"/>
        </w:rPr>
        <w:t>Hunter M.G. Quantitative morphometry of lupus nephritis: the significance of collagen, tubular space, and inflammatory infiltrate / M.G. Hunter, S. Hurwitz, C.O.C. Bellamy // Kidney Int. – 2005. – Vol. 67, № 1. – P. 94-102.</w:t>
      </w:r>
    </w:p>
    <w:p w:rsidR="00CC1CAF" w:rsidRDefault="00CC1CAF" w:rsidP="003142AD">
      <w:pPr>
        <w:numPr>
          <w:ilvl w:val="0"/>
          <w:numId w:val="62"/>
        </w:numPr>
        <w:suppressAutoHyphens w:val="0"/>
        <w:spacing w:line="360" w:lineRule="auto"/>
        <w:ind w:left="360"/>
        <w:jc w:val="both"/>
        <w:rPr>
          <w:lang w:val="en-US"/>
        </w:rPr>
      </w:pPr>
      <w:r>
        <w:rPr>
          <w:lang w:val="en-US"/>
        </w:rPr>
        <w:t xml:space="preserve">Illei G.G. Renal flares are common in patients with severe proliferative lupus nephritis treated with pulse immunosuppressive therapy / G.G. Illei, K. Takada, D. Parkin  // Arthr. Rheum. – 2002. – </w:t>
      </w:r>
      <w:r>
        <w:rPr>
          <w:color w:val="000000"/>
          <w:lang w:val="en-US"/>
        </w:rPr>
        <w:t>Vol. 46, N 4.</w:t>
      </w:r>
      <w:r>
        <w:rPr>
          <w:lang w:val="en-US"/>
        </w:rPr>
        <w:t xml:space="preserve"> – P. 995-1002.</w:t>
      </w:r>
    </w:p>
    <w:p w:rsidR="00CC1CAF" w:rsidRDefault="00CC1CAF" w:rsidP="003142AD">
      <w:pPr>
        <w:numPr>
          <w:ilvl w:val="0"/>
          <w:numId w:val="62"/>
        </w:numPr>
        <w:suppressAutoHyphens w:val="0"/>
        <w:spacing w:line="360" w:lineRule="auto"/>
        <w:ind w:left="360"/>
        <w:jc w:val="both"/>
        <w:rPr>
          <w:lang w:val="en-US"/>
        </w:rPr>
      </w:pPr>
      <w:r>
        <w:rPr>
          <w:lang w:val="en-US"/>
        </w:rPr>
        <w:t xml:space="preserve">Jacobi A.M. Balancing diversity and tolerance: lessons from patients with systemic lupus erythematosus / A.M. Jacobi, B. Diamond / J. Exp. Med. – 2005. – </w:t>
      </w:r>
      <w:r>
        <w:rPr>
          <w:color w:val="000000"/>
          <w:lang w:val="en-US"/>
        </w:rPr>
        <w:t>Vol. 202, N 3.</w:t>
      </w:r>
      <w:r>
        <w:rPr>
          <w:lang w:val="en-US"/>
        </w:rPr>
        <w:t xml:space="preserve"> – P. 341-344.</w:t>
      </w:r>
    </w:p>
    <w:p w:rsidR="00CC1CAF" w:rsidRDefault="00CC1CAF" w:rsidP="003142AD">
      <w:pPr>
        <w:numPr>
          <w:ilvl w:val="0"/>
          <w:numId w:val="62"/>
        </w:numPr>
        <w:suppressAutoHyphens w:val="0"/>
        <w:spacing w:line="360" w:lineRule="auto"/>
        <w:ind w:left="360"/>
        <w:jc w:val="both"/>
        <w:rPr>
          <w:lang w:val="en-US"/>
        </w:rPr>
      </w:pPr>
      <w:r>
        <w:rPr>
          <w:lang w:val="en-US"/>
        </w:rPr>
        <w:t>Jadoul M. Optimal care of lupus nephritis patients / M. Jadoul // Lupus. – 2005. – Vol. 14, № 1. – P. 72-76.</w:t>
      </w:r>
    </w:p>
    <w:p w:rsidR="00CC1CAF" w:rsidRDefault="00CC1CAF" w:rsidP="003142AD">
      <w:pPr>
        <w:numPr>
          <w:ilvl w:val="0"/>
          <w:numId w:val="62"/>
        </w:numPr>
        <w:suppressAutoHyphens w:val="0"/>
        <w:spacing w:line="360" w:lineRule="auto"/>
        <w:ind w:left="360"/>
        <w:jc w:val="both"/>
        <w:rPr>
          <w:lang w:val="en-US"/>
        </w:rPr>
      </w:pPr>
      <w:r>
        <w:rPr>
          <w:lang w:val="en-US"/>
        </w:rPr>
        <w:lastRenderedPageBreak/>
        <w:t>Kammer G.M. Systemic lupus erythematosus in the elderly / G.M. Kammer, N. Mishra // Rheum. Dis. Clin. N. Amer. – 2000. – Vol. 26, № 3. – P. 1-16.</w:t>
      </w:r>
    </w:p>
    <w:p w:rsidR="00CC1CAF" w:rsidRDefault="00CC1CAF" w:rsidP="003142AD">
      <w:pPr>
        <w:numPr>
          <w:ilvl w:val="0"/>
          <w:numId w:val="62"/>
        </w:numPr>
        <w:suppressAutoHyphens w:val="0"/>
        <w:spacing w:line="360" w:lineRule="auto"/>
        <w:ind w:left="360"/>
        <w:jc w:val="both"/>
        <w:rPr>
          <w:lang w:val="en-US"/>
        </w:rPr>
      </w:pPr>
      <w:r>
        <w:rPr>
          <w:lang w:val="en-US"/>
        </w:rPr>
        <w:t>Kalaaji M.</w:t>
      </w:r>
      <w:r>
        <w:rPr>
          <w:lang w:val="uk-UA"/>
        </w:rPr>
        <w:t xml:space="preserve"> </w:t>
      </w:r>
      <w:r>
        <w:rPr>
          <w:lang w:val="en-US"/>
        </w:rPr>
        <w:t xml:space="preserve">Glomerular apoptotic nucleosomes are central target structures for nephritogenic antibodies in human SLE nephritis / M. Kalaaji, K.A. Fenton, E.S. Mortensen  // Kidney Int. – 2007. </w:t>
      </w:r>
      <w:r>
        <w:rPr>
          <w:color w:val="000000"/>
          <w:lang w:val="en-US"/>
        </w:rPr>
        <w:t>– Vol. 71, N 7.</w:t>
      </w:r>
      <w:r>
        <w:rPr>
          <w:lang w:val="en-US"/>
        </w:rPr>
        <w:t xml:space="preserve"> – P. 664-672.</w:t>
      </w:r>
    </w:p>
    <w:p w:rsidR="00CC1CAF" w:rsidRDefault="00CC1CAF" w:rsidP="003142AD">
      <w:pPr>
        <w:numPr>
          <w:ilvl w:val="0"/>
          <w:numId w:val="62"/>
        </w:numPr>
        <w:suppressAutoHyphens w:val="0"/>
        <w:spacing w:line="360" w:lineRule="auto"/>
        <w:ind w:left="360"/>
        <w:jc w:val="both"/>
        <w:rPr>
          <w:lang w:val="en-US"/>
        </w:rPr>
      </w:pPr>
      <w:r>
        <w:rPr>
          <w:lang w:val="en-US"/>
        </w:rPr>
        <w:t xml:space="preserve">Kirou K.A. Soluble mediators as therapeutic targets in systemic lupus erythematosus: cytokines, immunoglobulin receptors, and the complement system / K.A. Kirou, J.E.Salmon, M.K. Crow // Rheum. Dis. Clin. N. Amer. – 2006. – Vol. </w:t>
      </w:r>
      <w:r>
        <w:rPr>
          <w:color w:val="000000"/>
          <w:lang w:val="en-US"/>
        </w:rPr>
        <w:t>32, N 1.</w:t>
      </w:r>
      <w:r>
        <w:rPr>
          <w:lang w:val="en-US"/>
        </w:rPr>
        <w:t xml:space="preserve"> – P. 103-119.</w:t>
      </w:r>
    </w:p>
    <w:p w:rsidR="00CC1CAF" w:rsidRDefault="00CC1CAF" w:rsidP="003142AD">
      <w:pPr>
        <w:numPr>
          <w:ilvl w:val="0"/>
          <w:numId w:val="62"/>
        </w:numPr>
        <w:suppressAutoHyphens w:val="0"/>
        <w:spacing w:line="360" w:lineRule="auto"/>
        <w:ind w:left="360"/>
        <w:jc w:val="both"/>
        <w:rPr>
          <w:lang w:val="en-US"/>
        </w:rPr>
      </w:pPr>
      <w:r>
        <w:rPr>
          <w:lang w:val="en-US"/>
        </w:rPr>
        <w:t xml:space="preserve">Kolasinski S.L. What do we know about lupus membranous nephropathy? An analytic review / S.L. Kolasinski, J.B. Chung, D.A. Albert // Arthr. Rheum. – 2002. – </w:t>
      </w:r>
      <w:r>
        <w:rPr>
          <w:color w:val="000000"/>
          <w:lang w:val="en-US"/>
        </w:rPr>
        <w:t>Vol. 47, N 4.</w:t>
      </w:r>
      <w:r>
        <w:rPr>
          <w:lang w:val="en-US"/>
        </w:rPr>
        <w:t xml:space="preserve"> – P. 450-455.</w:t>
      </w:r>
    </w:p>
    <w:p w:rsidR="00CC1CAF" w:rsidRDefault="00CC1CAF" w:rsidP="003142AD">
      <w:pPr>
        <w:numPr>
          <w:ilvl w:val="0"/>
          <w:numId w:val="62"/>
        </w:numPr>
        <w:suppressAutoHyphens w:val="0"/>
        <w:spacing w:line="360" w:lineRule="auto"/>
        <w:ind w:left="360"/>
        <w:jc w:val="both"/>
        <w:rPr>
          <w:lang w:val="en-US"/>
        </w:rPr>
      </w:pPr>
      <w:r>
        <w:rPr>
          <w:lang w:val="en-US"/>
        </w:rPr>
        <w:t xml:space="preserve">Korbet S.M. Factors predictive of outcome in severe lupus nephritis. Lupus Nephritis Collaborative Study Group / S.M. Korbet, E.J. Lewis, M.M. </w:t>
      </w:r>
      <w:proofErr w:type="gramStart"/>
      <w:r>
        <w:rPr>
          <w:lang w:val="en-US"/>
        </w:rPr>
        <w:t>Schwartz  /</w:t>
      </w:r>
      <w:proofErr w:type="gramEnd"/>
      <w:r>
        <w:rPr>
          <w:lang w:val="en-US"/>
        </w:rPr>
        <w:t xml:space="preserve">/ Amer. J. Kidney Dis. – 2000. – </w:t>
      </w:r>
      <w:r>
        <w:rPr>
          <w:color w:val="000000"/>
          <w:lang w:val="en-US"/>
        </w:rPr>
        <w:t>Vol. 35, N 5.</w:t>
      </w:r>
      <w:r>
        <w:rPr>
          <w:lang w:val="en-US"/>
        </w:rPr>
        <w:t xml:space="preserve"> – P. 904-914.</w:t>
      </w:r>
    </w:p>
    <w:p w:rsidR="00CC1CAF" w:rsidRDefault="00CC1CAF" w:rsidP="003142AD">
      <w:pPr>
        <w:numPr>
          <w:ilvl w:val="0"/>
          <w:numId w:val="62"/>
        </w:numPr>
        <w:suppressAutoHyphens w:val="0"/>
        <w:spacing w:line="360" w:lineRule="auto"/>
        <w:ind w:left="360"/>
        <w:jc w:val="both"/>
        <w:rPr>
          <w:lang w:val="en-US"/>
        </w:rPr>
      </w:pPr>
      <w:r>
        <w:rPr>
          <w:lang w:val="en-US"/>
        </w:rPr>
        <w:t xml:space="preserve">Kremer-Hovinga I.C.L. Chimerism in systemic lupus erythematosus – three hypotheses / I.C.L. Kremer-Hovinga, M. Koopmans, E. de Heer // Rheumatol. – 2007. – </w:t>
      </w:r>
      <w:r>
        <w:rPr>
          <w:color w:val="000000"/>
          <w:lang w:val="en-US"/>
        </w:rPr>
        <w:t>Vol. 46, N 2.</w:t>
      </w:r>
      <w:r>
        <w:rPr>
          <w:lang w:val="en-US"/>
        </w:rPr>
        <w:t xml:space="preserve"> – P. 200-208.</w:t>
      </w:r>
    </w:p>
    <w:p w:rsidR="00CC1CAF" w:rsidRDefault="00CC1CAF" w:rsidP="003142AD">
      <w:pPr>
        <w:numPr>
          <w:ilvl w:val="0"/>
          <w:numId w:val="62"/>
        </w:numPr>
        <w:suppressAutoHyphens w:val="0"/>
        <w:spacing w:line="360" w:lineRule="auto"/>
        <w:ind w:left="360"/>
        <w:jc w:val="both"/>
        <w:rPr>
          <w:lang w:val="en-US"/>
        </w:rPr>
      </w:pPr>
      <w:r>
        <w:rPr>
          <w:lang w:val="en-US"/>
        </w:rPr>
        <w:t xml:space="preserve">Lau K.K. Glomerulonephritis / K.K. Lau, R.J. Wyatt // Adolesc. Med. – 2005. – </w:t>
      </w:r>
      <w:r>
        <w:rPr>
          <w:color w:val="000000"/>
          <w:lang w:val="en-US"/>
        </w:rPr>
        <w:t>Vol. 16, N 1. –</w:t>
      </w:r>
      <w:r>
        <w:rPr>
          <w:lang w:val="en-US"/>
        </w:rPr>
        <w:t xml:space="preserve"> P. 67-85.</w:t>
      </w:r>
    </w:p>
    <w:p w:rsidR="00CC1CAF" w:rsidRDefault="00CC1CAF" w:rsidP="003142AD">
      <w:pPr>
        <w:numPr>
          <w:ilvl w:val="0"/>
          <w:numId w:val="62"/>
        </w:numPr>
        <w:suppressAutoHyphens w:val="0"/>
        <w:spacing w:line="360" w:lineRule="auto"/>
        <w:ind w:left="360"/>
        <w:jc w:val="both"/>
        <w:rPr>
          <w:lang w:val="en-US"/>
        </w:rPr>
      </w:pPr>
      <w:r>
        <w:rPr>
          <w:lang w:val="en-US"/>
        </w:rPr>
        <w:t xml:space="preserve">Looney R.J. New therapies for systemic lupus erythematosus: cellular targets / R.J. Looney, J. Anolik, I. Sanz // Rheum. Dis. Clin. N. Amer. – 2006. – </w:t>
      </w:r>
      <w:r>
        <w:rPr>
          <w:color w:val="000000"/>
          <w:lang w:val="en-US"/>
        </w:rPr>
        <w:t>Vol. 32, N 1.</w:t>
      </w:r>
      <w:r>
        <w:rPr>
          <w:lang w:val="en-US"/>
        </w:rPr>
        <w:t xml:space="preserve"> – P. 201-215.</w:t>
      </w:r>
    </w:p>
    <w:p w:rsidR="00CC1CAF" w:rsidRDefault="00CC1CAF" w:rsidP="003142AD">
      <w:pPr>
        <w:numPr>
          <w:ilvl w:val="0"/>
          <w:numId w:val="62"/>
        </w:numPr>
        <w:suppressAutoHyphens w:val="0"/>
        <w:spacing w:line="360" w:lineRule="auto"/>
        <w:ind w:left="360"/>
        <w:jc w:val="both"/>
        <w:rPr>
          <w:lang w:val="en-US"/>
        </w:rPr>
      </w:pPr>
      <w:r>
        <w:rPr>
          <w:lang w:val="en-US"/>
        </w:rPr>
        <w:t xml:space="preserve">Mannik M. Multiple autoantibodies form the glomerular immune deposits in patients with systemic lupus erythematosus / M. Mannik, C.E. Merrill, L.D. Stamps // J. Rheumatol. – 2003. </w:t>
      </w:r>
      <w:r>
        <w:rPr>
          <w:color w:val="000000"/>
          <w:lang w:val="en-US"/>
        </w:rPr>
        <w:t>– Vol. 30, N 7.</w:t>
      </w:r>
      <w:r>
        <w:rPr>
          <w:lang w:val="en-US"/>
        </w:rPr>
        <w:t xml:space="preserve"> – P. 1495-1504.</w:t>
      </w:r>
    </w:p>
    <w:p w:rsidR="00CC1CAF" w:rsidRDefault="00CC1CAF" w:rsidP="003142AD">
      <w:pPr>
        <w:numPr>
          <w:ilvl w:val="0"/>
          <w:numId w:val="62"/>
        </w:numPr>
        <w:suppressAutoHyphens w:val="0"/>
        <w:spacing w:line="360" w:lineRule="auto"/>
        <w:ind w:left="360"/>
        <w:jc w:val="both"/>
        <w:rPr>
          <w:lang w:val="en-US"/>
        </w:rPr>
      </w:pPr>
      <w:r>
        <w:rPr>
          <w:lang w:val="en-US"/>
        </w:rPr>
        <w:t>Markowitz G.S. The ISN/RPS 2003 classification of lupus nephritis: an assessment at 3 years / G.S. Markowitz, V.D. D’Agati // Kidney Int. – 2007. – Vol. 71, № 3. – P.  491-495.</w:t>
      </w:r>
    </w:p>
    <w:p w:rsidR="00CC1CAF" w:rsidRDefault="00CC1CAF" w:rsidP="003142AD">
      <w:pPr>
        <w:numPr>
          <w:ilvl w:val="0"/>
          <w:numId w:val="62"/>
        </w:numPr>
        <w:suppressAutoHyphens w:val="0"/>
        <w:spacing w:line="360" w:lineRule="auto"/>
        <w:ind w:left="360"/>
        <w:jc w:val="both"/>
        <w:rPr>
          <w:lang w:val="en-US"/>
        </w:rPr>
      </w:pPr>
      <w:r>
        <w:rPr>
          <w:lang w:val="en-US"/>
        </w:rPr>
        <w:t xml:space="preserve">Masani N.N. SLE and rapidly progressive glomerulonephritis / N.N. Masani, L.J. Imbriano, V.D. D’Agati // Amer. J. Kidney Dis. – 2005. – Vol. 45, </w:t>
      </w:r>
      <w:r>
        <w:rPr>
          <w:lang w:val="uk-UA"/>
        </w:rPr>
        <w:t>№</w:t>
      </w:r>
      <w:r>
        <w:rPr>
          <w:lang w:val="en-US"/>
        </w:rPr>
        <w:t xml:space="preserve"> 5. – P.  950-955.</w:t>
      </w:r>
    </w:p>
    <w:p w:rsidR="00CC1CAF" w:rsidRDefault="00CC1CAF" w:rsidP="003142AD">
      <w:pPr>
        <w:numPr>
          <w:ilvl w:val="0"/>
          <w:numId w:val="62"/>
        </w:numPr>
        <w:suppressAutoHyphens w:val="0"/>
        <w:spacing w:line="360" w:lineRule="auto"/>
        <w:ind w:left="360"/>
        <w:jc w:val="both"/>
        <w:rPr>
          <w:lang w:val="en-US"/>
        </w:rPr>
      </w:pPr>
      <w:r>
        <w:rPr>
          <w:lang w:val="en-US"/>
        </w:rPr>
        <w:t>Mazzuco G.</w:t>
      </w:r>
      <w:r>
        <w:rPr>
          <w:lang w:val="uk-UA"/>
        </w:rPr>
        <w:t xml:space="preserve"> </w:t>
      </w:r>
      <w:r>
        <w:rPr>
          <w:lang w:val="en-US"/>
        </w:rPr>
        <w:t xml:space="preserve">The use of Mallory`s Phosphotungstic acid-hematoxilin (PTAH) stain in renal pathology </w:t>
      </w:r>
      <w:r>
        <w:rPr>
          <w:lang w:val="uk-UA"/>
        </w:rPr>
        <w:t xml:space="preserve">/ </w:t>
      </w:r>
      <w:r>
        <w:rPr>
          <w:lang w:val="en-US"/>
        </w:rPr>
        <w:t>G.</w:t>
      </w:r>
      <w:r>
        <w:rPr>
          <w:lang w:val="uk-UA"/>
        </w:rPr>
        <w:t xml:space="preserve"> </w:t>
      </w:r>
      <w:r>
        <w:rPr>
          <w:lang w:val="en-US"/>
        </w:rPr>
        <w:t>Mazzuco, B.</w:t>
      </w:r>
      <w:r>
        <w:rPr>
          <w:lang w:val="uk-UA"/>
        </w:rPr>
        <w:t xml:space="preserve"> </w:t>
      </w:r>
      <w:r>
        <w:rPr>
          <w:lang w:val="en-US"/>
        </w:rPr>
        <w:t>Basolo, G.</w:t>
      </w:r>
      <w:r>
        <w:rPr>
          <w:lang w:val="uk-UA"/>
        </w:rPr>
        <w:t xml:space="preserve"> </w:t>
      </w:r>
      <w:r>
        <w:rPr>
          <w:lang w:val="en-US"/>
        </w:rPr>
        <w:t>Monga// Path. Res. Pract. – 1982. – Vol. 175</w:t>
      </w:r>
      <w:r>
        <w:rPr>
          <w:lang w:val="uk-UA"/>
        </w:rPr>
        <w:t>, № 4</w:t>
      </w:r>
      <w:r>
        <w:rPr>
          <w:lang w:val="en-US"/>
        </w:rPr>
        <w:t xml:space="preserve">. – P. 380-391. </w:t>
      </w:r>
    </w:p>
    <w:p w:rsidR="00CC1CAF" w:rsidRDefault="00CC1CAF" w:rsidP="003142AD">
      <w:pPr>
        <w:numPr>
          <w:ilvl w:val="0"/>
          <w:numId w:val="62"/>
        </w:numPr>
        <w:suppressAutoHyphens w:val="0"/>
        <w:spacing w:line="360" w:lineRule="auto"/>
        <w:ind w:left="360"/>
        <w:jc w:val="both"/>
        <w:rPr>
          <w:lang w:val="en-US"/>
        </w:rPr>
      </w:pPr>
      <w:r>
        <w:rPr>
          <w:lang w:val="en-US"/>
        </w:rPr>
        <w:t>McCune W.J. Correlation of membranous glomerular ultrastructural changes with disease severity and outcome in lupus patients initiating cyclophosphamide therapy / W.J.</w:t>
      </w:r>
      <w:r>
        <w:rPr>
          <w:lang w:val="uk-UA"/>
        </w:rPr>
        <w:t xml:space="preserve"> </w:t>
      </w:r>
      <w:r>
        <w:rPr>
          <w:lang w:val="en-US"/>
        </w:rPr>
        <w:t>McCune, M.</w:t>
      </w:r>
      <w:r>
        <w:rPr>
          <w:lang w:val="uk-UA"/>
        </w:rPr>
        <w:t xml:space="preserve"> </w:t>
      </w:r>
      <w:r>
        <w:rPr>
          <w:lang w:val="en-US"/>
        </w:rPr>
        <w:t>Saluja, S.</w:t>
      </w:r>
      <w:r>
        <w:rPr>
          <w:lang w:val="uk-UA"/>
        </w:rPr>
        <w:t xml:space="preserve"> </w:t>
      </w:r>
      <w:r>
        <w:rPr>
          <w:lang w:val="en-US"/>
        </w:rPr>
        <w:t>Bhat</w:t>
      </w:r>
      <w:r>
        <w:rPr>
          <w:lang w:val="uk-UA"/>
        </w:rPr>
        <w:t xml:space="preserve"> /</w:t>
      </w:r>
      <w:r>
        <w:rPr>
          <w:lang w:val="en-US"/>
        </w:rPr>
        <w:t>/ Lupus. – 2005. – Vol. 14, № 6. – P. 426-433.</w:t>
      </w:r>
    </w:p>
    <w:p w:rsidR="00CC1CAF" w:rsidRDefault="00CC1CAF" w:rsidP="003142AD">
      <w:pPr>
        <w:numPr>
          <w:ilvl w:val="0"/>
          <w:numId w:val="62"/>
        </w:numPr>
        <w:suppressAutoHyphens w:val="0"/>
        <w:spacing w:line="360" w:lineRule="auto"/>
        <w:ind w:left="360"/>
        <w:jc w:val="both"/>
        <w:rPr>
          <w:lang w:val="en-US"/>
        </w:rPr>
      </w:pPr>
      <w:r>
        <w:rPr>
          <w:lang w:val="en-US"/>
        </w:rPr>
        <w:lastRenderedPageBreak/>
        <w:t xml:space="preserve">Mercadal L. Factors affecting outcome and prognosis in membranous lupus nephropathy / L. Mercadal, S.T. du Montcel, D. </w:t>
      </w:r>
      <w:proofErr w:type="gramStart"/>
      <w:r>
        <w:rPr>
          <w:lang w:val="en-US"/>
        </w:rPr>
        <w:t>Nochy  /</w:t>
      </w:r>
      <w:proofErr w:type="gramEnd"/>
      <w:r>
        <w:rPr>
          <w:lang w:val="en-US"/>
        </w:rPr>
        <w:t xml:space="preserve">/ Nephrol. Dial. Transplant. – 2002. – </w:t>
      </w:r>
      <w:r>
        <w:rPr>
          <w:color w:val="000000"/>
          <w:lang w:val="en-US"/>
        </w:rPr>
        <w:t>Vol. 17, N 10.</w:t>
      </w:r>
      <w:r>
        <w:rPr>
          <w:lang w:val="en-US"/>
        </w:rPr>
        <w:t xml:space="preserve"> – P. 1771-1778.</w:t>
      </w:r>
    </w:p>
    <w:p w:rsidR="00CC1CAF" w:rsidRDefault="00CC1CAF" w:rsidP="003142AD">
      <w:pPr>
        <w:numPr>
          <w:ilvl w:val="0"/>
          <w:numId w:val="62"/>
        </w:numPr>
        <w:suppressAutoHyphens w:val="0"/>
        <w:spacing w:line="360" w:lineRule="auto"/>
        <w:ind w:left="360"/>
        <w:jc w:val="both"/>
        <w:rPr>
          <w:lang w:val="en-US"/>
        </w:rPr>
      </w:pPr>
      <w:r>
        <w:rPr>
          <w:lang w:val="en-US"/>
        </w:rPr>
        <w:t xml:space="preserve">Mittal B. The role of kidney biopsy in the management of lupus nephritis / B. Mittal, H. Rennke, A.K. Singh // Curr. Opin. Nephrol. Hypertens. – 2005. </w:t>
      </w:r>
      <w:r>
        <w:rPr>
          <w:color w:val="000000"/>
          <w:lang w:val="en-US"/>
        </w:rPr>
        <w:t>– Vol. 14, N 1.</w:t>
      </w:r>
      <w:r>
        <w:rPr>
          <w:lang w:val="en-US"/>
        </w:rPr>
        <w:t xml:space="preserve"> – P. 1-8.</w:t>
      </w:r>
    </w:p>
    <w:p w:rsidR="00CC1CAF" w:rsidRDefault="00CC1CAF" w:rsidP="003142AD">
      <w:pPr>
        <w:numPr>
          <w:ilvl w:val="0"/>
          <w:numId w:val="62"/>
        </w:numPr>
        <w:suppressAutoHyphens w:val="0"/>
        <w:spacing w:line="360" w:lineRule="auto"/>
        <w:ind w:left="360"/>
        <w:jc w:val="both"/>
        <w:rPr>
          <w:lang w:val="en-US"/>
        </w:rPr>
      </w:pPr>
      <w:r>
        <w:rPr>
          <w:lang w:val="en-US"/>
        </w:rPr>
        <w:t>Mok C.C. Prognostic factors in lupus nephritis/ C.C. Mok // Lupus. – 2005. – Vol. 14, № 1. – P. 39-44.</w:t>
      </w:r>
    </w:p>
    <w:p w:rsidR="00CC1CAF" w:rsidRDefault="00CC1CAF" w:rsidP="003142AD">
      <w:pPr>
        <w:numPr>
          <w:ilvl w:val="0"/>
          <w:numId w:val="62"/>
        </w:numPr>
        <w:suppressAutoHyphens w:val="0"/>
        <w:spacing w:line="360" w:lineRule="auto"/>
        <w:ind w:left="360"/>
        <w:jc w:val="both"/>
        <w:rPr>
          <w:lang w:val="en-US"/>
        </w:rPr>
      </w:pPr>
      <w:r>
        <w:rPr>
          <w:lang w:val="en-US"/>
        </w:rPr>
        <w:t>Mok C.C.</w:t>
      </w:r>
      <w:r>
        <w:rPr>
          <w:lang w:val="uk-UA"/>
        </w:rPr>
        <w:t xml:space="preserve"> </w:t>
      </w:r>
      <w:r>
        <w:rPr>
          <w:lang w:val="en-US"/>
        </w:rPr>
        <w:t xml:space="preserve">Pathogenesis of systemic lupus erythematosus / C.C. Mok, C.S. Lau // J. Clin. Pathol. – 2003. – </w:t>
      </w:r>
      <w:r>
        <w:rPr>
          <w:color w:val="000000"/>
          <w:lang w:val="en-US"/>
        </w:rPr>
        <w:t>Vol. 56, N 7.</w:t>
      </w:r>
      <w:r>
        <w:rPr>
          <w:lang w:val="en-US"/>
        </w:rPr>
        <w:t xml:space="preserve"> – P. 481-490.</w:t>
      </w:r>
    </w:p>
    <w:p w:rsidR="00CC1CAF" w:rsidRDefault="00CC1CAF" w:rsidP="003142AD">
      <w:pPr>
        <w:numPr>
          <w:ilvl w:val="0"/>
          <w:numId w:val="62"/>
        </w:numPr>
        <w:suppressAutoHyphens w:val="0"/>
        <w:spacing w:line="360" w:lineRule="auto"/>
        <w:ind w:left="360"/>
        <w:jc w:val="both"/>
        <w:rPr>
          <w:color w:val="000000"/>
          <w:lang w:val="en-US"/>
        </w:rPr>
      </w:pPr>
      <w:r>
        <w:rPr>
          <w:lang w:val="en-US"/>
        </w:rPr>
        <w:t xml:space="preserve">Mok C.C. Treatment of severe proliferative lupus nephritis: the current state / C.C. Mok, R.W. Wong, K.N. Lai // Ann. Rheum. Dis. – 2003. – </w:t>
      </w:r>
      <w:r>
        <w:rPr>
          <w:color w:val="000000"/>
          <w:lang w:val="en-US"/>
        </w:rPr>
        <w:t>Vol. 62, N 9. – P. 799-804.</w:t>
      </w:r>
    </w:p>
    <w:p w:rsidR="00CC1CAF" w:rsidRDefault="00CC1CAF" w:rsidP="003142AD">
      <w:pPr>
        <w:numPr>
          <w:ilvl w:val="0"/>
          <w:numId w:val="62"/>
        </w:numPr>
        <w:suppressAutoHyphens w:val="0"/>
        <w:spacing w:line="360" w:lineRule="auto"/>
        <w:ind w:left="360"/>
        <w:jc w:val="both"/>
        <w:rPr>
          <w:lang w:val="en-US"/>
        </w:rPr>
      </w:pPr>
      <w:r>
        <w:rPr>
          <w:lang w:val="en-US"/>
        </w:rPr>
        <w:t xml:space="preserve">Mok C.C. Treatment of pure membranous lupus nephropathy with prednisone and azatioprine: an open-label trial / C.C. Mok, K.Y. Ying, C.S. </w:t>
      </w:r>
      <w:proofErr w:type="gramStart"/>
      <w:r>
        <w:rPr>
          <w:lang w:val="en-US"/>
        </w:rPr>
        <w:t>Lau  /</w:t>
      </w:r>
      <w:proofErr w:type="gramEnd"/>
      <w:r>
        <w:rPr>
          <w:lang w:val="en-US"/>
        </w:rPr>
        <w:t xml:space="preserve">/ Amer. J. Kidney Dis. – 2004. – Vol. 43, </w:t>
      </w:r>
      <w:r>
        <w:rPr>
          <w:lang w:val="uk-UA"/>
        </w:rPr>
        <w:t>№</w:t>
      </w:r>
      <w:r>
        <w:rPr>
          <w:lang w:val="en-US"/>
        </w:rPr>
        <w:t xml:space="preserve"> 2. – P. 269-276.</w:t>
      </w:r>
    </w:p>
    <w:p w:rsidR="00CC1CAF" w:rsidRDefault="00CC1CAF" w:rsidP="003142AD">
      <w:pPr>
        <w:numPr>
          <w:ilvl w:val="0"/>
          <w:numId w:val="62"/>
        </w:numPr>
        <w:suppressAutoHyphens w:val="0"/>
        <w:spacing w:line="360" w:lineRule="auto"/>
        <w:ind w:left="360"/>
        <w:jc w:val="both"/>
        <w:rPr>
          <w:lang w:val="en-US"/>
        </w:rPr>
      </w:pPr>
      <w:r>
        <w:rPr>
          <w:lang w:val="en-US"/>
        </w:rPr>
        <w:t xml:space="preserve">Mok C.C. Predictors and outcome of renal flares after successful cyclophosphamide treatment for diffuse proliferative lupus glomerulonephritis / C.C. Mok, K.Y. Ying, S. Tang  // Arthr. Rheum. – 2004. – </w:t>
      </w:r>
      <w:r>
        <w:rPr>
          <w:color w:val="000000"/>
          <w:lang w:val="en-US"/>
        </w:rPr>
        <w:t>Vol. 50, N 8.</w:t>
      </w:r>
      <w:r>
        <w:rPr>
          <w:lang w:val="en-US"/>
        </w:rPr>
        <w:t xml:space="preserve"> – P. 2559-2568.</w:t>
      </w:r>
    </w:p>
    <w:p w:rsidR="00CC1CAF" w:rsidRDefault="00CC1CAF" w:rsidP="003142AD">
      <w:pPr>
        <w:numPr>
          <w:ilvl w:val="0"/>
          <w:numId w:val="62"/>
        </w:numPr>
        <w:suppressAutoHyphens w:val="0"/>
        <w:spacing w:line="360" w:lineRule="auto"/>
        <w:ind w:left="360"/>
        <w:jc w:val="both"/>
        <w:rPr>
          <w:lang w:val="en-US"/>
        </w:rPr>
      </w:pPr>
      <w:r>
        <w:rPr>
          <w:lang w:val="en-US"/>
        </w:rPr>
        <w:t xml:space="preserve">Mok C.C. Long-term survival of southern Chinese patients with systemic lupus erythematosus. A prospective study of all age-groups / C.C. Mok, A. Mak, W.P. </w:t>
      </w:r>
      <w:proofErr w:type="gramStart"/>
      <w:r>
        <w:rPr>
          <w:lang w:val="en-US"/>
        </w:rPr>
        <w:t>Chu  /</w:t>
      </w:r>
      <w:proofErr w:type="gramEnd"/>
      <w:r>
        <w:rPr>
          <w:lang w:val="en-US"/>
        </w:rPr>
        <w:t xml:space="preserve">/ Medicine. – 2005. – </w:t>
      </w:r>
      <w:r>
        <w:rPr>
          <w:color w:val="000000"/>
          <w:lang w:val="en-US"/>
        </w:rPr>
        <w:t>Vol. 84, N 4.</w:t>
      </w:r>
      <w:r>
        <w:rPr>
          <w:lang w:val="en-US"/>
        </w:rPr>
        <w:t xml:space="preserve"> – P. 218-224.</w:t>
      </w:r>
    </w:p>
    <w:p w:rsidR="00CC1CAF" w:rsidRDefault="00CC1CAF" w:rsidP="003142AD">
      <w:pPr>
        <w:numPr>
          <w:ilvl w:val="0"/>
          <w:numId w:val="62"/>
        </w:numPr>
        <w:suppressAutoHyphens w:val="0"/>
        <w:spacing w:line="360" w:lineRule="auto"/>
        <w:ind w:left="360"/>
        <w:jc w:val="both"/>
        <w:rPr>
          <w:lang w:val="en-US"/>
        </w:rPr>
      </w:pPr>
      <w:r>
        <w:rPr>
          <w:lang w:val="en-US"/>
        </w:rPr>
        <w:t xml:space="preserve">Mok C.C. Long-term outcome of diffuse proliferative lupus glomerulonephritis treated with cyclophosphamide / C.C. Mok, K.Y. Ying, W.L. Ng  // Amer. J. Med. – 2006. </w:t>
      </w:r>
      <w:r>
        <w:rPr>
          <w:color w:val="000000"/>
          <w:lang w:val="en-US"/>
        </w:rPr>
        <w:t>– Vol. 119, N 4.</w:t>
      </w:r>
      <w:r>
        <w:rPr>
          <w:lang w:val="en-US"/>
        </w:rPr>
        <w:t xml:space="preserve"> – P. 25-33.</w:t>
      </w:r>
    </w:p>
    <w:p w:rsidR="00CC1CAF" w:rsidRDefault="00CC1CAF" w:rsidP="003142AD">
      <w:pPr>
        <w:numPr>
          <w:ilvl w:val="0"/>
          <w:numId w:val="62"/>
        </w:numPr>
        <w:suppressAutoHyphens w:val="0"/>
        <w:spacing w:line="360" w:lineRule="auto"/>
        <w:ind w:left="360"/>
        <w:jc w:val="both"/>
        <w:rPr>
          <w:lang w:val="en-US"/>
        </w:rPr>
      </w:pPr>
      <w:r>
        <w:rPr>
          <w:lang w:val="en-US"/>
        </w:rPr>
        <w:t xml:space="preserve">Mosley K. Urinary proteomic profiles distinguish between active and inactive lupus nephritis / K. Mosley, F.W.K. Tam, R.J. Edwards // Rheumatology. – 2006 – </w:t>
      </w:r>
      <w:r>
        <w:rPr>
          <w:color w:val="000000"/>
          <w:lang w:val="en-US"/>
        </w:rPr>
        <w:t>Vol. 45, N 12.</w:t>
      </w:r>
      <w:r>
        <w:rPr>
          <w:lang w:val="en-US"/>
        </w:rPr>
        <w:t xml:space="preserve"> – P. 1497-1504.</w:t>
      </w:r>
    </w:p>
    <w:p w:rsidR="00CC1CAF" w:rsidRDefault="00CC1CAF" w:rsidP="003142AD">
      <w:pPr>
        <w:numPr>
          <w:ilvl w:val="0"/>
          <w:numId w:val="62"/>
        </w:numPr>
        <w:suppressAutoHyphens w:val="0"/>
        <w:spacing w:line="360" w:lineRule="auto"/>
        <w:ind w:left="360"/>
        <w:jc w:val="both"/>
        <w:rPr>
          <w:lang w:val="en-US"/>
        </w:rPr>
      </w:pPr>
      <w:r>
        <w:rPr>
          <w:lang w:val="en-US"/>
        </w:rPr>
        <w:t>Moss K.E. Outcome of a cohort of 300 patients with systemic lupus erythematosus attending a dedicated clinic for over two decades / K.E. Moss, Y. Ioannou, S.M. Sultan // Ann. Rheum. Dis. – 2002. – Vol. 61, № 5. – P. 409-413.</w:t>
      </w:r>
    </w:p>
    <w:p w:rsidR="00CC1CAF" w:rsidRDefault="00CC1CAF" w:rsidP="003142AD">
      <w:pPr>
        <w:numPr>
          <w:ilvl w:val="0"/>
          <w:numId w:val="62"/>
        </w:numPr>
        <w:suppressAutoHyphens w:val="0"/>
        <w:spacing w:line="360" w:lineRule="auto"/>
        <w:ind w:left="360"/>
        <w:jc w:val="both"/>
        <w:rPr>
          <w:lang w:val="en-US"/>
        </w:rPr>
      </w:pPr>
      <w:r>
        <w:rPr>
          <w:lang w:val="en-US"/>
        </w:rPr>
        <w:t xml:space="preserve">Moroni G. Nephritis flares are predictors of bad long-term renal outcome in lupus nephritis / G. Moroni, S. Quagliani, M. Maccario // Kidney Int. – 1996. – Vol. </w:t>
      </w:r>
      <w:r>
        <w:rPr>
          <w:color w:val="000000"/>
          <w:lang w:val="en-US"/>
        </w:rPr>
        <w:t>50, N 6.</w:t>
      </w:r>
      <w:r>
        <w:rPr>
          <w:lang w:val="en-US"/>
        </w:rPr>
        <w:t xml:space="preserve"> – P. 2047-2053.</w:t>
      </w:r>
    </w:p>
    <w:p w:rsidR="00CC1CAF" w:rsidRDefault="00CC1CAF" w:rsidP="003142AD">
      <w:pPr>
        <w:numPr>
          <w:ilvl w:val="0"/>
          <w:numId w:val="62"/>
        </w:numPr>
        <w:suppressAutoHyphens w:val="0"/>
        <w:spacing w:line="360" w:lineRule="auto"/>
        <w:ind w:left="360"/>
        <w:jc w:val="both"/>
        <w:rPr>
          <w:lang w:val="en-US"/>
        </w:rPr>
      </w:pPr>
      <w:r>
        <w:rPr>
          <w:lang w:val="en-US"/>
        </w:rPr>
        <w:t xml:space="preserve">Moroni G. Antiphospholipid antibodies are associated with an increased risk for chronic renal insufficiency in patients with lupus nephritis / G. Moroni, D. Ventura, P. Riva  // Amer. J. Kidney Dis. – 2004. – Vol. </w:t>
      </w:r>
      <w:r>
        <w:rPr>
          <w:color w:val="000000"/>
          <w:lang w:val="en-US"/>
        </w:rPr>
        <w:t>43, N 1.</w:t>
      </w:r>
      <w:r>
        <w:rPr>
          <w:lang w:val="en-US"/>
        </w:rPr>
        <w:t xml:space="preserve"> – P. 28-36.</w:t>
      </w:r>
    </w:p>
    <w:p w:rsidR="00CC1CAF" w:rsidRDefault="00CC1CAF" w:rsidP="003142AD">
      <w:pPr>
        <w:numPr>
          <w:ilvl w:val="0"/>
          <w:numId w:val="62"/>
        </w:numPr>
        <w:suppressAutoHyphens w:val="0"/>
        <w:spacing w:line="360" w:lineRule="auto"/>
        <w:ind w:left="360"/>
        <w:jc w:val="both"/>
        <w:rPr>
          <w:lang w:val="en-US"/>
        </w:rPr>
      </w:pPr>
      <w:r>
        <w:rPr>
          <w:lang w:val="en-US"/>
        </w:rPr>
        <w:lastRenderedPageBreak/>
        <w:t>Moroni G. Withdrawal of therapy in patients with proliferative lupus nephritis: long-term follow-up / G. Moroni, B. Gallelli, S. Quaglini // Nephrol. Dial. Transplant. – 2007. – Vol. 21, № 6. – P. 1541-1548.</w:t>
      </w:r>
    </w:p>
    <w:p w:rsidR="00CC1CAF" w:rsidRDefault="00CC1CAF" w:rsidP="003142AD">
      <w:pPr>
        <w:numPr>
          <w:ilvl w:val="0"/>
          <w:numId w:val="62"/>
        </w:numPr>
        <w:suppressAutoHyphens w:val="0"/>
        <w:spacing w:line="360" w:lineRule="auto"/>
        <w:ind w:left="360"/>
        <w:jc w:val="both"/>
        <w:rPr>
          <w:lang w:val="en-US"/>
        </w:rPr>
      </w:pPr>
      <w:r>
        <w:rPr>
          <w:lang w:val="en-US"/>
        </w:rPr>
        <w:t>Moroni G. The long-term outcome of 93 patients with proliferative lupus nephritis / G. Moroni, S. Quaglini, B. Gallelli // Nephrol. Dial. Transplant. – 2007. – Vol. 22, № 9. – P. 2531-2539.</w:t>
      </w:r>
    </w:p>
    <w:p w:rsidR="00CC1CAF" w:rsidRDefault="00CC1CAF" w:rsidP="003142AD">
      <w:pPr>
        <w:numPr>
          <w:ilvl w:val="0"/>
          <w:numId w:val="62"/>
        </w:numPr>
        <w:suppressAutoHyphens w:val="0"/>
        <w:spacing w:line="360" w:lineRule="auto"/>
        <w:ind w:left="360"/>
        <w:jc w:val="both"/>
        <w:rPr>
          <w:lang w:val="en-US"/>
        </w:rPr>
      </w:pPr>
      <w:r>
        <w:rPr>
          <w:lang w:val="en-US"/>
        </w:rPr>
        <w:t xml:space="preserve">Mosca M. Renal flares in 91 SLE patients with diffuse proliferative glomerulonephritis / M. Mosca, W. Bencivelli, R. Neri  // Kidney Int. – 2002. – </w:t>
      </w:r>
      <w:r>
        <w:rPr>
          <w:color w:val="000000"/>
          <w:lang w:val="en-US"/>
        </w:rPr>
        <w:t>Vol. 61, N 4</w:t>
      </w:r>
      <w:r>
        <w:rPr>
          <w:lang w:val="en-US"/>
        </w:rPr>
        <w:t>. – P. 1502-1509.</w:t>
      </w:r>
    </w:p>
    <w:p w:rsidR="00CC1CAF" w:rsidRDefault="00CC1CAF" w:rsidP="003142AD">
      <w:pPr>
        <w:numPr>
          <w:ilvl w:val="0"/>
          <w:numId w:val="62"/>
        </w:numPr>
        <w:suppressAutoHyphens w:val="0"/>
        <w:spacing w:line="360" w:lineRule="auto"/>
        <w:ind w:left="360"/>
        <w:jc w:val="both"/>
        <w:rPr>
          <w:lang w:val="en-US"/>
        </w:rPr>
      </w:pPr>
      <w:r>
        <w:rPr>
          <w:lang w:val="en-US"/>
        </w:rPr>
        <w:t>Navarra S.V. Immune therapy of lupus: what is on the horizon? / S.V. Navarra // Nephrol. Dial. Transplant. – 2006. – Vol. 21, № 3.</w:t>
      </w:r>
      <w:r>
        <w:rPr>
          <w:lang w:val="uk-UA"/>
        </w:rPr>
        <w:t xml:space="preserve"> – </w:t>
      </w:r>
      <w:r>
        <w:rPr>
          <w:lang w:val="en-US"/>
        </w:rPr>
        <w:t>P. 5</w:t>
      </w:r>
      <w:r>
        <w:rPr>
          <w:lang w:val="uk-UA"/>
        </w:rPr>
        <w:t>7</w:t>
      </w:r>
      <w:r>
        <w:rPr>
          <w:lang w:val="en-US"/>
        </w:rPr>
        <w:t>9</w:t>
      </w:r>
      <w:r>
        <w:rPr>
          <w:lang w:val="uk-UA"/>
        </w:rPr>
        <w:t>-</w:t>
      </w:r>
      <w:r>
        <w:rPr>
          <w:lang w:val="en-US"/>
        </w:rPr>
        <w:t>581.</w:t>
      </w:r>
    </w:p>
    <w:p w:rsidR="00CC1CAF" w:rsidRDefault="00CC1CAF" w:rsidP="003142AD">
      <w:pPr>
        <w:numPr>
          <w:ilvl w:val="0"/>
          <w:numId w:val="62"/>
        </w:numPr>
        <w:suppressAutoHyphens w:val="0"/>
        <w:spacing w:line="360" w:lineRule="auto"/>
        <w:ind w:left="360"/>
        <w:jc w:val="both"/>
        <w:rPr>
          <w:lang w:val="en-US"/>
        </w:rPr>
      </w:pPr>
      <w:r>
        <w:rPr>
          <w:lang w:val="en-US"/>
        </w:rPr>
        <w:t>Nero P. Does long-term treatment with azatioprine predispose to malignancy and death in patients with systemic lupus erythematosus? / P. Nero, A. Rahman, D.A. Isenberg // Ann. Rheum. Med. – 2004. – Vol. 63, № 3. – P. 325-326.</w:t>
      </w:r>
    </w:p>
    <w:p w:rsidR="00CC1CAF" w:rsidRDefault="00CC1CAF" w:rsidP="003142AD">
      <w:pPr>
        <w:numPr>
          <w:ilvl w:val="0"/>
          <w:numId w:val="62"/>
        </w:numPr>
        <w:suppressAutoHyphens w:val="0"/>
        <w:spacing w:line="360" w:lineRule="auto"/>
        <w:ind w:left="360"/>
        <w:jc w:val="both"/>
        <w:rPr>
          <w:lang w:val="en-US"/>
        </w:rPr>
      </w:pPr>
      <w:r>
        <w:rPr>
          <w:lang w:val="en-US"/>
        </w:rPr>
        <w:t xml:space="preserve">Nikpour M. Premature atherosclerosis in systemic lupus erythematosus / M. Nikpour, M.B. Urowitz, D.D. Gladman // Rheum. Dis. Clin. N. Amer. – 2005. – </w:t>
      </w:r>
      <w:r>
        <w:rPr>
          <w:color w:val="000000"/>
          <w:lang w:val="en-US"/>
        </w:rPr>
        <w:t>Vol. 31, N 2.</w:t>
      </w:r>
      <w:r>
        <w:rPr>
          <w:lang w:val="en-US"/>
        </w:rPr>
        <w:t xml:space="preserve"> – P. 329-354.</w:t>
      </w:r>
    </w:p>
    <w:p w:rsidR="00CC1CAF" w:rsidRDefault="00CC1CAF" w:rsidP="003142AD">
      <w:pPr>
        <w:numPr>
          <w:ilvl w:val="0"/>
          <w:numId w:val="62"/>
        </w:numPr>
        <w:suppressAutoHyphens w:val="0"/>
        <w:spacing w:line="360" w:lineRule="auto"/>
        <w:ind w:left="360"/>
        <w:jc w:val="both"/>
        <w:rPr>
          <w:lang w:val="en-US"/>
        </w:rPr>
      </w:pPr>
      <w:r>
        <w:rPr>
          <w:lang w:val="en-US"/>
        </w:rPr>
        <w:t xml:space="preserve">Oates J.C. Prediction of urinary protein markers in lupus nephritis / J.C. Oates, S. Varghese, A.M. </w:t>
      </w:r>
      <w:proofErr w:type="gramStart"/>
      <w:r>
        <w:rPr>
          <w:lang w:val="en-US"/>
        </w:rPr>
        <w:t>Bland  /</w:t>
      </w:r>
      <w:proofErr w:type="gramEnd"/>
      <w:r>
        <w:rPr>
          <w:lang w:val="en-US"/>
        </w:rPr>
        <w:t>/ Kidney Int. – 2005. – Vol. 68, № 6. – P. 2588-2592.</w:t>
      </w:r>
    </w:p>
    <w:p w:rsidR="00CC1CAF" w:rsidRDefault="00CC1CAF" w:rsidP="003142AD">
      <w:pPr>
        <w:numPr>
          <w:ilvl w:val="0"/>
          <w:numId w:val="62"/>
        </w:numPr>
        <w:suppressAutoHyphens w:val="0"/>
        <w:spacing w:line="360" w:lineRule="auto"/>
        <w:ind w:left="360"/>
        <w:jc w:val="both"/>
        <w:rPr>
          <w:lang w:val="en-US"/>
        </w:rPr>
      </w:pPr>
      <w:r>
        <w:rPr>
          <w:lang w:val="en-US"/>
        </w:rPr>
        <w:t xml:space="preserve">Petri M. Review of classification criteria for systemic lupus erythematosus / M. Petri // Rheum. Dis. Clin. N. Amer. – 2005. – </w:t>
      </w:r>
      <w:r>
        <w:rPr>
          <w:color w:val="000000"/>
          <w:lang w:val="en-US"/>
        </w:rPr>
        <w:t>Vol. 31, N 2.</w:t>
      </w:r>
      <w:r>
        <w:rPr>
          <w:lang w:val="en-US"/>
        </w:rPr>
        <w:t xml:space="preserve"> – P. 245-254.</w:t>
      </w:r>
    </w:p>
    <w:p w:rsidR="00CC1CAF" w:rsidRDefault="00CC1CAF" w:rsidP="003142AD">
      <w:pPr>
        <w:numPr>
          <w:ilvl w:val="0"/>
          <w:numId w:val="62"/>
        </w:numPr>
        <w:suppressAutoHyphens w:val="0"/>
        <w:spacing w:line="360" w:lineRule="auto"/>
        <w:ind w:left="360"/>
        <w:jc w:val="both"/>
        <w:rPr>
          <w:lang w:val="en-US"/>
        </w:rPr>
      </w:pPr>
      <w:r>
        <w:rPr>
          <w:lang w:val="en-US"/>
        </w:rPr>
        <w:t>Reiser J. Novel concepts in understanding and management of glomerular proteinuria / J. Reiser, Gersdorff G., M. Simons //</w:t>
      </w:r>
      <w:r>
        <w:rPr>
          <w:lang w:val="uk-UA"/>
        </w:rPr>
        <w:t xml:space="preserve"> </w:t>
      </w:r>
      <w:r>
        <w:rPr>
          <w:lang w:val="en-US"/>
        </w:rPr>
        <w:t xml:space="preserve">Nephrol. Dial. Transplant. – 2002. – Vol. 17, </w:t>
      </w:r>
      <w:r>
        <w:rPr>
          <w:lang w:val="uk-UA"/>
        </w:rPr>
        <w:t>№</w:t>
      </w:r>
      <w:r>
        <w:rPr>
          <w:lang w:val="en-US"/>
        </w:rPr>
        <w:t xml:space="preserve"> 2. – P. 951-955.</w:t>
      </w:r>
    </w:p>
    <w:p w:rsidR="00CC1CAF" w:rsidRDefault="00CC1CAF" w:rsidP="003142AD">
      <w:pPr>
        <w:numPr>
          <w:ilvl w:val="0"/>
          <w:numId w:val="62"/>
        </w:numPr>
        <w:suppressAutoHyphens w:val="0"/>
        <w:spacing w:line="360" w:lineRule="auto"/>
        <w:ind w:left="360"/>
        <w:jc w:val="both"/>
        <w:rPr>
          <w:lang w:val="en-US"/>
        </w:rPr>
      </w:pPr>
      <w:r>
        <w:rPr>
          <w:lang w:val="en-US"/>
        </w:rPr>
        <w:t xml:space="preserve">Roberts I.S.D. Beyond diagnosis stage and grade in inflammatory renal disease </w:t>
      </w:r>
      <w:r>
        <w:rPr>
          <w:lang w:val="uk-UA"/>
        </w:rPr>
        <w:t xml:space="preserve">/ </w:t>
      </w:r>
      <w:r>
        <w:rPr>
          <w:lang w:val="en-US"/>
        </w:rPr>
        <w:t>I.S.D.</w:t>
      </w:r>
      <w:r>
        <w:rPr>
          <w:lang w:val="uk-UA"/>
        </w:rPr>
        <w:t xml:space="preserve"> </w:t>
      </w:r>
      <w:r>
        <w:rPr>
          <w:lang w:val="en-US"/>
        </w:rPr>
        <w:t>Roberts, P.N.Furness, H.T. Cook // Curr. Diagn. Pathol. – 2004. – Vol. 10</w:t>
      </w:r>
      <w:r>
        <w:rPr>
          <w:lang w:val="uk-UA"/>
        </w:rPr>
        <w:t>, № 1</w:t>
      </w:r>
      <w:r>
        <w:rPr>
          <w:lang w:val="en-US"/>
        </w:rPr>
        <w:t>. – P. 22-35.</w:t>
      </w:r>
    </w:p>
    <w:p w:rsidR="00CC1CAF" w:rsidRDefault="00CC1CAF" w:rsidP="003142AD">
      <w:pPr>
        <w:numPr>
          <w:ilvl w:val="0"/>
          <w:numId w:val="62"/>
        </w:numPr>
        <w:suppressAutoHyphens w:val="0"/>
        <w:spacing w:line="360" w:lineRule="auto"/>
        <w:ind w:left="360"/>
        <w:jc w:val="both"/>
        <w:rPr>
          <w:lang w:val="en-US"/>
        </w:rPr>
      </w:pPr>
      <w:r>
        <w:rPr>
          <w:lang w:val="en-US"/>
        </w:rPr>
        <w:t xml:space="preserve">Schwarting A. Genetic predisposition – in lupus nephritis a question of copy numbers? / A. Schwarting // Nephrol. Dial. Transplant. – 2006. – Vol. 21, № </w:t>
      </w:r>
      <w:r>
        <w:rPr>
          <w:lang w:val="uk-UA"/>
        </w:rPr>
        <w:t>9</w:t>
      </w:r>
      <w:r>
        <w:rPr>
          <w:lang w:val="en-US"/>
        </w:rPr>
        <w:t>.</w:t>
      </w:r>
      <w:r>
        <w:rPr>
          <w:lang w:val="uk-UA"/>
        </w:rPr>
        <w:t xml:space="preserve"> – </w:t>
      </w:r>
      <w:r>
        <w:rPr>
          <w:lang w:val="en-US"/>
        </w:rPr>
        <w:t xml:space="preserve">P. </w:t>
      </w:r>
      <w:r>
        <w:rPr>
          <w:lang w:val="uk-UA"/>
        </w:rPr>
        <w:t>2378-2379</w:t>
      </w:r>
      <w:r>
        <w:rPr>
          <w:lang w:val="en-US"/>
        </w:rPr>
        <w:t>.</w:t>
      </w:r>
    </w:p>
    <w:p w:rsidR="00CC1CAF" w:rsidRDefault="00CC1CAF" w:rsidP="003142AD">
      <w:pPr>
        <w:numPr>
          <w:ilvl w:val="0"/>
          <w:numId w:val="62"/>
        </w:numPr>
        <w:suppressAutoHyphens w:val="0"/>
        <w:spacing w:line="360" w:lineRule="auto"/>
        <w:ind w:left="360"/>
        <w:jc w:val="both"/>
        <w:rPr>
          <w:lang w:val="en-US"/>
        </w:rPr>
      </w:pPr>
      <w:r>
        <w:rPr>
          <w:lang w:val="en-US"/>
        </w:rPr>
        <w:t>Sididropoulos P.I. Lupus nephritis flares / P.I. Sididropoulos, H.D. Kritikos, D.T. Boumpas // Lupus. – 2005. – Vol. 14, № 1. – P. 49-52.</w:t>
      </w:r>
    </w:p>
    <w:p w:rsidR="00CC1CAF" w:rsidRDefault="00CC1CAF" w:rsidP="003142AD">
      <w:pPr>
        <w:numPr>
          <w:ilvl w:val="0"/>
          <w:numId w:val="62"/>
        </w:numPr>
        <w:suppressAutoHyphens w:val="0"/>
        <w:spacing w:line="360" w:lineRule="auto"/>
        <w:ind w:left="360"/>
        <w:jc w:val="both"/>
        <w:rPr>
          <w:lang w:val="en-US"/>
        </w:rPr>
      </w:pPr>
      <w:r>
        <w:rPr>
          <w:lang w:val="en-US"/>
        </w:rPr>
        <w:t xml:space="preserve">Stoll T. Analysis of the relationship between disease activity and damage in patients with systemic lupus erythematosus – a 5-yr prospective study / T. Stoll, N. Sutcliffe, J. Mach  // Rheumatol. – 2004. – </w:t>
      </w:r>
      <w:r>
        <w:rPr>
          <w:color w:val="000000"/>
          <w:lang w:val="en-US"/>
        </w:rPr>
        <w:t>Vol. 43, N 8</w:t>
      </w:r>
      <w:r>
        <w:rPr>
          <w:lang w:val="en-US"/>
        </w:rPr>
        <w:t>. – P. 1039-1044.</w:t>
      </w:r>
    </w:p>
    <w:p w:rsidR="00CC1CAF" w:rsidRDefault="00CC1CAF" w:rsidP="003142AD">
      <w:pPr>
        <w:numPr>
          <w:ilvl w:val="0"/>
          <w:numId w:val="62"/>
        </w:numPr>
        <w:suppressAutoHyphens w:val="0"/>
        <w:spacing w:line="360" w:lineRule="auto"/>
        <w:ind w:left="360"/>
        <w:jc w:val="both"/>
        <w:rPr>
          <w:lang w:val="en-US"/>
        </w:rPr>
      </w:pPr>
      <w:r>
        <w:rPr>
          <w:lang w:val="en-US"/>
        </w:rPr>
        <w:t>Striker G. The renal biopsy: Major problems in pathology</w:t>
      </w:r>
      <w:r>
        <w:rPr>
          <w:lang w:val="uk-UA"/>
        </w:rPr>
        <w:t xml:space="preserve"> /</w:t>
      </w:r>
      <w:r>
        <w:rPr>
          <w:lang w:val="en-US"/>
        </w:rPr>
        <w:t xml:space="preserve"> Striker G.</w:t>
      </w:r>
      <w:proofErr w:type="gramStart"/>
      <w:r>
        <w:rPr>
          <w:lang w:val="en-US"/>
        </w:rPr>
        <w:t xml:space="preserve">, </w:t>
      </w:r>
      <w:r>
        <w:rPr>
          <w:lang w:val="uk-UA"/>
        </w:rPr>
        <w:t xml:space="preserve"> </w:t>
      </w:r>
      <w:r>
        <w:rPr>
          <w:lang w:val="en-US"/>
        </w:rPr>
        <w:t>Striker</w:t>
      </w:r>
      <w:proofErr w:type="gramEnd"/>
      <w:r>
        <w:rPr>
          <w:lang w:val="en-US"/>
        </w:rPr>
        <w:t xml:space="preserve"> L.J.,</w:t>
      </w:r>
      <w:r>
        <w:rPr>
          <w:lang w:val="uk-UA"/>
        </w:rPr>
        <w:t xml:space="preserve"> </w:t>
      </w:r>
      <w:r>
        <w:rPr>
          <w:lang w:val="en-US"/>
        </w:rPr>
        <w:t>D`Agati V. – [3-d ed.]. – Philadelphia; London: W.B. Saunders co., 1997. – 306 p.</w:t>
      </w:r>
    </w:p>
    <w:p w:rsidR="00CC1CAF" w:rsidRDefault="00CC1CAF" w:rsidP="003142AD">
      <w:pPr>
        <w:numPr>
          <w:ilvl w:val="0"/>
          <w:numId w:val="62"/>
        </w:numPr>
        <w:suppressAutoHyphens w:val="0"/>
        <w:spacing w:line="360" w:lineRule="auto"/>
        <w:ind w:left="360"/>
        <w:jc w:val="both"/>
        <w:rPr>
          <w:lang w:val="en-US"/>
        </w:rPr>
      </w:pPr>
      <w:r>
        <w:rPr>
          <w:lang w:val="en-US"/>
        </w:rPr>
        <w:t xml:space="preserve">Tam L.S. Treatment of membranous lupus nephritis with prednisone, azatioprine and cyclosporine A / L.S. Tam, E.K. Li, S.S. Szeto  // Lupus. – 2001. – </w:t>
      </w:r>
      <w:r>
        <w:rPr>
          <w:color w:val="000000"/>
          <w:lang w:val="en-US"/>
        </w:rPr>
        <w:t>Vol. 10, N 11.</w:t>
      </w:r>
      <w:r>
        <w:rPr>
          <w:lang w:val="en-US"/>
        </w:rPr>
        <w:t xml:space="preserve"> – P. 827-829.</w:t>
      </w:r>
    </w:p>
    <w:p w:rsidR="00CC1CAF" w:rsidRDefault="00CC1CAF" w:rsidP="003142AD">
      <w:pPr>
        <w:numPr>
          <w:ilvl w:val="0"/>
          <w:numId w:val="62"/>
        </w:numPr>
        <w:suppressAutoHyphens w:val="0"/>
        <w:spacing w:line="360" w:lineRule="auto"/>
        <w:ind w:left="360"/>
        <w:jc w:val="both"/>
        <w:rPr>
          <w:lang w:val="en-US"/>
        </w:rPr>
      </w:pPr>
      <w:r>
        <w:rPr>
          <w:lang w:val="en-US"/>
        </w:rPr>
        <w:lastRenderedPageBreak/>
        <w:t>Tan E.M. The 1982 revised criteria for the classification of systemic lupus erythematosus / E.M. Tan, A.S. Chohen, J.F. Fries  // Arthr. Rheum. – 1982. – Vol. 25, № 5. – P. 1271-1277.</w:t>
      </w:r>
    </w:p>
    <w:p w:rsidR="00CC1CAF" w:rsidRDefault="00CC1CAF" w:rsidP="003142AD">
      <w:pPr>
        <w:numPr>
          <w:ilvl w:val="0"/>
          <w:numId w:val="62"/>
        </w:numPr>
        <w:suppressAutoHyphens w:val="0"/>
        <w:spacing w:line="360" w:lineRule="auto"/>
        <w:ind w:left="360"/>
        <w:jc w:val="both"/>
        <w:rPr>
          <w:lang w:val="en-US"/>
        </w:rPr>
      </w:pPr>
      <w:r>
        <w:rPr>
          <w:lang w:val="en-US"/>
        </w:rPr>
        <w:t xml:space="preserve">Treharne G.J. Compliance is futile but is «concordance» between rheumatology patients and health professionals attainable? / G.J. Treharne, A.C. Lyons, E.D. </w:t>
      </w:r>
      <w:proofErr w:type="gramStart"/>
      <w:r>
        <w:rPr>
          <w:lang w:val="en-US"/>
        </w:rPr>
        <w:t>Hale  /</w:t>
      </w:r>
      <w:proofErr w:type="gramEnd"/>
      <w:r>
        <w:rPr>
          <w:lang w:val="en-US"/>
        </w:rPr>
        <w:t xml:space="preserve">/ Rheumatology. – 2006. – </w:t>
      </w:r>
      <w:r>
        <w:rPr>
          <w:color w:val="000000"/>
          <w:lang w:val="en-US"/>
        </w:rPr>
        <w:t>Vol. 45, N 1.</w:t>
      </w:r>
      <w:r>
        <w:rPr>
          <w:lang w:val="en-US"/>
        </w:rPr>
        <w:t xml:space="preserve"> – P. 1-5.</w:t>
      </w:r>
    </w:p>
    <w:p w:rsidR="00CC1CAF" w:rsidRDefault="00CC1CAF" w:rsidP="003142AD">
      <w:pPr>
        <w:numPr>
          <w:ilvl w:val="0"/>
          <w:numId w:val="62"/>
        </w:numPr>
        <w:suppressAutoHyphens w:val="0"/>
        <w:spacing w:line="360" w:lineRule="auto"/>
        <w:ind w:left="360"/>
        <w:jc w:val="both"/>
        <w:rPr>
          <w:lang w:val="en-US"/>
        </w:rPr>
      </w:pPr>
      <w:r>
        <w:rPr>
          <w:lang w:val="en-US"/>
        </w:rPr>
        <w:t>Trendelenburg M.</w:t>
      </w:r>
      <w:r>
        <w:rPr>
          <w:lang w:val="uk-UA"/>
        </w:rPr>
        <w:t xml:space="preserve"> </w:t>
      </w:r>
      <w:r>
        <w:rPr>
          <w:lang w:val="en-US"/>
        </w:rPr>
        <w:t>High prevalence of anti-C1q antibodies in biopsy-proven active lupus nephritis / M.</w:t>
      </w:r>
      <w:r>
        <w:rPr>
          <w:lang w:val="uk-UA"/>
        </w:rPr>
        <w:t xml:space="preserve"> </w:t>
      </w:r>
      <w:r>
        <w:rPr>
          <w:lang w:val="en-US"/>
        </w:rPr>
        <w:t xml:space="preserve">Trendelenburg, M. Lopez-Trascasa, E. </w:t>
      </w:r>
      <w:proofErr w:type="gramStart"/>
      <w:r>
        <w:rPr>
          <w:lang w:val="en-US"/>
        </w:rPr>
        <w:t>Potlukova  /</w:t>
      </w:r>
      <w:proofErr w:type="gramEnd"/>
      <w:r>
        <w:rPr>
          <w:lang w:val="en-US"/>
        </w:rPr>
        <w:t xml:space="preserve">/ Nephrol. Dial. Transplant. – 2006. – Vol. 21, № </w:t>
      </w:r>
      <w:r>
        <w:rPr>
          <w:lang w:val="uk-UA"/>
        </w:rPr>
        <w:t>11</w:t>
      </w:r>
      <w:r>
        <w:rPr>
          <w:lang w:val="en-US"/>
        </w:rPr>
        <w:t>.</w:t>
      </w:r>
      <w:r>
        <w:rPr>
          <w:lang w:val="uk-UA"/>
        </w:rPr>
        <w:t xml:space="preserve"> – </w:t>
      </w:r>
      <w:r>
        <w:rPr>
          <w:lang w:val="en-US"/>
        </w:rPr>
        <w:t xml:space="preserve">P. </w:t>
      </w:r>
      <w:r>
        <w:rPr>
          <w:lang w:val="uk-UA"/>
        </w:rPr>
        <w:t>3115-3121.</w:t>
      </w:r>
    </w:p>
    <w:p w:rsidR="00CC1CAF" w:rsidRDefault="00CC1CAF" w:rsidP="003142AD">
      <w:pPr>
        <w:numPr>
          <w:ilvl w:val="0"/>
          <w:numId w:val="62"/>
        </w:numPr>
        <w:suppressAutoHyphens w:val="0"/>
        <w:spacing w:line="360" w:lineRule="auto"/>
        <w:ind w:left="360"/>
        <w:jc w:val="both"/>
        <w:rPr>
          <w:lang w:val="en-US"/>
        </w:rPr>
      </w:pPr>
      <w:r>
        <w:rPr>
          <w:lang w:val="en-US"/>
        </w:rPr>
        <w:t>Tse K.C. Quality of life comparison between corticosteroid-and-mycofenolate mofetil and corticosteroid-and-oral cyclophosphamide in the treatment of severe lupus nephritis / K.C. Tse, C.S.O. Tang, W.I. Lio  // Lupus. – 2006. – Vol. 15, № 6. – P. 371-379.</w:t>
      </w:r>
    </w:p>
    <w:p w:rsidR="00CC1CAF" w:rsidRDefault="00CC1CAF" w:rsidP="003142AD">
      <w:pPr>
        <w:numPr>
          <w:ilvl w:val="0"/>
          <w:numId w:val="62"/>
        </w:numPr>
        <w:suppressAutoHyphens w:val="0"/>
        <w:spacing w:line="360" w:lineRule="auto"/>
        <w:ind w:left="360"/>
        <w:jc w:val="both"/>
        <w:rPr>
          <w:color w:val="000000"/>
          <w:lang w:val="en-US"/>
        </w:rPr>
      </w:pPr>
      <w:r>
        <w:rPr>
          <w:lang w:val="en-US"/>
        </w:rPr>
        <w:t xml:space="preserve">Urowitz M.B. Contributions of observational cohort studies in systemic lupus erythematosus: the University of Toronto lupus clinic experience / M.B. Urowitz, D.D. Gladman // Rheum. Dis. Clin. N. Amer. – 2005. – </w:t>
      </w:r>
      <w:r>
        <w:rPr>
          <w:color w:val="000000"/>
          <w:lang w:val="en-US"/>
        </w:rPr>
        <w:t xml:space="preserve">Vol. 31, N 2. – P. 211-221. </w:t>
      </w:r>
    </w:p>
    <w:p w:rsidR="00CC1CAF" w:rsidRDefault="00CC1CAF" w:rsidP="003142AD">
      <w:pPr>
        <w:numPr>
          <w:ilvl w:val="0"/>
          <w:numId w:val="62"/>
        </w:numPr>
        <w:suppressAutoHyphens w:val="0"/>
        <w:spacing w:line="360" w:lineRule="auto"/>
        <w:ind w:left="360"/>
        <w:jc w:val="both"/>
        <w:rPr>
          <w:lang w:val="en-US"/>
        </w:rPr>
      </w:pPr>
      <w:r>
        <w:rPr>
          <w:lang w:val="en-US"/>
        </w:rPr>
        <w:t xml:space="preserve">Wais T. Subclinical disease activity in systemic lupus erythematosus: immunoinflammatory markers do not normalize in clinical remission / T. Wais, W. Fierz, T. Stoll // J. Rheumatol. – 2003. – Vol. 30, </w:t>
      </w:r>
      <w:proofErr w:type="gramStart"/>
      <w:r>
        <w:rPr>
          <w:lang w:val="en-US"/>
        </w:rPr>
        <w:t>N .</w:t>
      </w:r>
      <w:proofErr w:type="gramEnd"/>
      <w:r>
        <w:rPr>
          <w:lang w:val="en-US"/>
        </w:rPr>
        <w:t xml:space="preserve"> – P. 2133-2139.</w:t>
      </w:r>
    </w:p>
    <w:p w:rsidR="00CC1CAF" w:rsidRDefault="00CC1CAF" w:rsidP="003142AD">
      <w:pPr>
        <w:numPr>
          <w:ilvl w:val="0"/>
          <w:numId w:val="62"/>
        </w:numPr>
        <w:suppressAutoHyphens w:val="0"/>
        <w:spacing w:line="360" w:lineRule="auto"/>
        <w:ind w:left="360"/>
        <w:jc w:val="both"/>
        <w:rPr>
          <w:lang w:val="en-US"/>
        </w:rPr>
      </w:pPr>
      <w:r>
        <w:rPr>
          <w:lang w:val="en-US"/>
        </w:rPr>
        <w:t>Vasoo S. Theory, targets and therapy in systemic lupus erythematosus / S. Vasoo, G.R. Hughes // Lupus. – 2005. – Vol. 14, № 3. – P. 181-188.</w:t>
      </w:r>
    </w:p>
    <w:p w:rsidR="00CC1CAF" w:rsidRDefault="00CC1CAF" w:rsidP="003142AD">
      <w:pPr>
        <w:numPr>
          <w:ilvl w:val="0"/>
          <w:numId w:val="62"/>
        </w:numPr>
        <w:suppressAutoHyphens w:val="0"/>
        <w:spacing w:line="360" w:lineRule="auto"/>
        <w:ind w:left="360"/>
        <w:jc w:val="both"/>
        <w:rPr>
          <w:lang w:val="en-US"/>
        </w:rPr>
      </w:pPr>
      <w:r>
        <w:rPr>
          <w:lang w:val="en-US"/>
        </w:rPr>
        <w:t xml:space="preserve">Waldman M. Update on the treatment of lupus nephritis / M. Waldman, G.B. Appel // Kidney Int. – 2006. – </w:t>
      </w:r>
      <w:r>
        <w:rPr>
          <w:color w:val="000000"/>
          <w:lang w:val="en-US"/>
        </w:rPr>
        <w:t>Vol. 70, N 8.</w:t>
      </w:r>
      <w:r>
        <w:rPr>
          <w:lang w:val="en-US"/>
        </w:rPr>
        <w:t xml:space="preserve"> – P. 1403-1412.</w:t>
      </w:r>
    </w:p>
    <w:p w:rsidR="00CC1CAF" w:rsidRDefault="00CC1CAF" w:rsidP="003142AD">
      <w:pPr>
        <w:pStyle w:val="affffffff6"/>
        <w:numPr>
          <w:ilvl w:val="0"/>
          <w:numId w:val="62"/>
        </w:numPr>
        <w:tabs>
          <w:tab w:val="clear" w:pos="4677"/>
          <w:tab w:val="clear" w:pos="9355"/>
        </w:tabs>
        <w:suppressAutoHyphens w:val="0"/>
        <w:spacing w:line="360" w:lineRule="auto"/>
        <w:ind w:left="360"/>
        <w:rPr>
          <w:lang w:val="en-US"/>
        </w:rPr>
      </w:pPr>
      <w:r>
        <w:rPr>
          <w:lang w:val="en-US"/>
        </w:rPr>
        <w:t>Waldman M. Pathogenic autoantibodies in lupus nephritis / M. Waldman, M.P. Madaio // Lupus. – 2005. – Vol. 14, № 1. – P. 19-24.</w:t>
      </w:r>
    </w:p>
    <w:p w:rsidR="00CC1CAF" w:rsidRDefault="00CC1CAF" w:rsidP="003142AD">
      <w:pPr>
        <w:numPr>
          <w:ilvl w:val="0"/>
          <w:numId w:val="62"/>
        </w:numPr>
        <w:suppressAutoHyphens w:val="0"/>
        <w:spacing w:line="360" w:lineRule="auto"/>
        <w:ind w:left="360"/>
        <w:jc w:val="both"/>
        <w:rPr>
          <w:lang w:val="en-US"/>
        </w:rPr>
      </w:pPr>
      <w:r>
        <w:rPr>
          <w:lang w:val="en-US"/>
        </w:rPr>
        <w:t xml:space="preserve">Ward M.M. Participatory patient-physician communication and morbidity in patients with systemic lupus erythematosus / M.M. Ward, S. Sundaramuthy, D. Lotstein // Arthr. Care Res. – 2003. – </w:t>
      </w:r>
      <w:r>
        <w:rPr>
          <w:color w:val="000000"/>
          <w:lang w:val="en-US"/>
        </w:rPr>
        <w:t>Vol. 49, N 6.</w:t>
      </w:r>
      <w:r>
        <w:rPr>
          <w:lang w:val="en-US"/>
        </w:rPr>
        <w:t xml:space="preserve"> – P. 810-818.</w:t>
      </w:r>
    </w:p>
    <w:p w:rsidR="00CC1CAF" w:rsidRDefault="00CC1CAF" w:rsidP="003142AD">
      <w:pPr>
        <w:numPr>
          <w:ilvl w:val="0"/>
          <w:numId w:val="62"/>
        </w:numPr>
        <w:suppressAutoHyphens w:val="0"/>
        <w:spacing w:line="360" w:lineRule="auto"/>
        <w:ind w:left="360"/>
        <w:jc w:val="both"/>
        <w:rPr>
          <w:lang w:val="en-US"/>
        </w:rPr>
      </w:pPr>
      <w:r>
        <w:rPr>
          <w:lang w:val="en-US"/>
        </w:rPr>
        <w:t>Weening J.J. The classification of glomerulonephritis in systemic lupus erythematosus revised / J.J. Weening, V.D. D`Agati, M.M. Schwartz // Kidney Int. – 2004. – Vol. 65, № 2. – P. 521-530.</w:t>
      </w:r>
    </w:p>
    <w:p w:rsidR="00CC1CAF" w:rsidRDefault="00CC1CAF" w:rsidP="003142AD">
      <w:pPr>
        <w:numPr>
          <w:ilvl w:val="0"/>
          <w:numId w:val="62"/>
        </w:numPr>
        <w:suppressAutoHyphens w:val="0"/>
        <w:spacing w:line="360" w:lineRule="auto"/>
        <w:ind w:left="360"/>
        <w:jc w:val="both"/>
        <w:rPr>
          <w:lang w:val="en-US"/>
        </w:rPr>
      </w:pPr>
      <w:r>
        <w:rPr>
          <w:lang w:val="en-US"/>
        </w:rPr>
        <w:t>Yee C.S. EULAR randomized controlled trial of pulse cyclophosphamide and methylprednisolone versus continuous cyclophosphamide  and prednisolone followed by azatioprine and prednisolone in lupus nephritis / C.S. Yee, C. Gordon, C. Dostal // Ann. Rheum. Med. – 2004. – Vol. 63, № 5. – P. 525-529.</w:t>
      </w:r>
    </w:p>
    <w:p w:rsidR="00797B7B" w:rsidRPr="00CC1CAF" w:rsidRDefault="00797B7B" w:rsidP="00797B7B">
      <w:pPr>
        <w:pStyle w:val="affffffffffffffffffffffff6"/>
        <w:spacing w:line="360" w:lineRule="auto"/>
        <w:rPr>
          <w:color w:val="000000"/>
          <w:szCs w:val="28"/>
        </w:rPr>
      </w:pPr>
    </w:p>
    <w:p w:rsidR="00797B7B" w:rsidRPr="00B020B2" w:rsidRDefault="00797B7B" w:rsidP="00797B7B">
      <w:pPr>
        <w:pStyle w:val="affffffffffffffffffffffff6"/>
        <w:spacing w:line="360" w:lineRule="auto"/>
        <w:rPr>
          <w:color w:val="000000"/>
          <w:szCs w:val="28"/>
          <w:lang w:val="uk-UA"/>
        </w:rPr>
      </w:pPr>
    </w:p>
    <w:p w:rsidR="00797B7B" w:rsidRPr="00B020B2" w:rsidRDefault="00797B7B" w:rsidP="00797B7B">
      <w:pPr>
        <w:pStyle w:val="affffffffffffffffffffffff6"/>
        <w:spacing w:line="360" w:lineRule="auto"/>
        <w:rPr>
          <w:color w:val="000000"/>
          <w:szCs w:val="28"/>
          <w:lang w:val="uk-UA"/>
        </w:rPr>
      </w:pPr>
    </w:p>
    <w:p w:rsidR="00797B7B" w:rsidRPr="00B020B2" w:rsidRDefault="00797B7B" w:rsidP="00797B7B">
      <w:pPr>
        <w:pStyle w:val="affffffffffffffffffffffff6"/>
        <w:spacing w:line="360" w:lineRule="auto"/>
        <w:rPr>
          <w:color w:val="000000"/>
          <w:szCs w:val="28"/>
          <w:lang w:val="uk-UA"/>
        </w:rPr>
      </w:pPr>
    </w:p>
    <w:p w:rsidR="00797B7B" w:rsidRPr="00B020B2" w:rsidRDefault="00797B7B" w:rsidP="00797B7B">
      <w:pPr>
        <w:pStyle w:val="affffffffffffffffffffffff6"/>
        <w:spacing w:line="360" w:lineRule="auto"/>
        <w:rPr>
          <w:color w:val="000000"/>
          <w:szCs w:val="28"/>
          <w:lang w:val="uk-UA"/>
        </w:rPr>
      </w:pPr>
    </w:p>
    <w:p w:rsidR="00797B7B" w:rsidRDefault="00797B7B" w:rsidP="00797B7B">
      <w:pPr>
        <w:pStyle w:val="2ffff9"/>
        <w:spacing w:after="0" w:line="360" w:lineRule="auto"/>
        <w:rPr>
          <w:b/>
          <w:sz w:val="28"/>
          <w:szCs w:val="28"/>
          <w:lang w:val="uk-UA"/>
        </w:rPr>
      </w:pPr>
    </w:p>
    <w:p w:rsidR="00A55104" w:rsidRPr="00F1291C" w:rsidRDefault="00A55104" w:rsidP="00A55104">
      <w:pPr>
        <w:rPr>
          <w:color w:val="000000"/>
          <w:lang w:val="uk-UA"/>
        </w:rPr>
      </w:pP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AD" w:rsidRDefault="003142AD">
      <w:r>
        <w:separator/>
      </w:r>
    </w:p>
  </w:endnote>
  <w:endnote w:type="continuationSeparator" w:id="0">
    <w:p w:rsidR="003142AD" w:rsidRDefault="0031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AD" w:rsidRDefault="003142AD">
      <w:r>
        <w:separator/>
      </w:r>
    </w:p>
  </w:footnote>
  <w:footnote w:type="continuationSeparator" w:id="0">
    <w:p w:rsidR="003142AD" w:rsidRDefault="00314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AF" w:rsidRDefault="00CC1CAF">
    <w:pPr>
      <w:pStyle w:val="affffffff6"/>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C1CAF" w:rsidRDefault="00CC1CAF">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AF" w:rsidRDefault="00CC1CAF">
    <w:pPr>
      <w:pStyle w:val="affffffff6"/>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CC1CAF" w:rsidRDefault="00CC1CAF">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7966B98"/>
    <w:multiLevelType w:val="hybridMultilevel"/>
    <w:tmpl w:val="5ABC79D2"/>
    <w:lvl w:ilvl="0" w:tplc="11DC7EC2">
      <w:start w:val="1"/>
      <w:numFmt w:val="decimal"/>
      <w:lvlText w:val="%1."/>
      <w:lvlJc w:val="left"/>
      <w:pPr>
        <w:tabs>
          <w:tab w:val="num" w:pos="1440"/>
        </w:tabs>
        <w:ind w:left="1440" w:hanging="360"/>
      </w:pPr>
      <w:rPr>
        <w:rFonts w:ascii="Times New Roman" w:hAnsi="Times New Roman" w:cs="Times New Roman" w:hint="default"/>
      </w:rPr>
    </w:lvl>
    <w:lvl w:ilvl="1" w:tplc="04190019">
      <w:start w:val="1"/>
      <w:numFmt w:val="lowerLetter"/>
      <w:lvlText w:val="%2."/>
      <w:lvlJc w:val="left"/>
      <w:pPr>
        <w:tabs>
          <w:tab w:val="num" w:pos="2160"/>
        </w:tabs>
        <w:ind w:left="2160" w:hanging="360"/>
      </w:pPr>
      <w:rPr>
        <w:rFonts w:ascii="Times New Roman" w:hAnsi="Times New Roman" w:cs="Times New Roman"/>
      </w:rPr>
    </w:lvl>
    <w:lvl w:ilvl="2" w:tplc="0419001B">
      <w:start w:val="1"/>
      <w:numFmt w:val="lowerRoman"/>
      <w:lvlText w:val="%3."/>
      <w:lvlJc w:val="right"/>
      <w:pPr>
        <w:tabs>
          <w:tab w:val="num" w:pos="2880"/>
        </w:tabs>
        <w:ind w:left="2880" w:hanging="180"/>
      </w:pPr>
      <w:rPr>
        <w:rFonts w:ascii="Times New Roman" w:hAnsi="Times New Roman" w:cs="Times New Roman"/>
      </w:rPr>
    </w:lvl>
    <w:lvl w:ilvl="3" w:tplc="0419000F">
      <w:start w:val="1"/>
      <w:numFmt w:val="decimal"/>
      <w:lvlText w:val="%4."/>
      <w:lvlJc w:val="left"/>
      <w:pPr>
        <w:tabs>
          <w:tab w:val="num" w:pos="3600"/>
        </w:tabs>
        <w:ind w:left="3600" w:hanging="360"/>
      </w:pPr>
      <w:rPr>
        <w:rFonts w:ascii="Times New Roman" w:hAnsi="Times New Roman" w:cs="Times New Roman"/>
      </w:rPr>
    </w:lvl>
    <w:lvl w:ilvl="4" w:tplc="04190019">
      <w:start w:val="1"/>
      <w:numFmt w:val="lowerLetter"/>
      <w:lvlText w:val="%5."/>
      <w:lvlJc w:val="left"/>
      <w:pPr>
        <w:tabs>
          <w:tab w:val="num" w:pos="4320"/>
        </w:tabs>
        <w:ind w:left="4320" w:hanging="360"/>
      </w:pPr>
      <w:rPr>
        <w:rFonts w:ascii="Times New Roman" w:hAnsi="Times New Roman" w:cs="Times New Roman"/>
      </w:rPr>
    </w:lvl>
    <w:lvl w:ilvl="5" w:tplc="0419001B">
      <w:start w:val="1"/>
      <w:numFmt w:val="lowerRoman"/>
      <w:lvlText w:val="%6."/>
      <w:lvlJc w:val="right"/>
      <w:pPr>
        <w:tabs>
          <w:tab w:val="num" w:pos="5040"/>
        </w:tabs>
        <w:ind w:left="5040" w:hanging="180"/>
      </w:pPr>
      <w:rPr>
        <w:rFonts w:ascii="Times New Roman" w:hAnsi="Times New Roman" w:cs="Times New Roman"/>
      </w:rPr>
    </w:lvl>
    <w:lvl w:ilvl="6" w:tplc="0419000F">
      <w:start w:val="1"/>
      <w:numFmt w:val="decimal"/>
      <w:lvlText w:val="%7."/>
      <w:lvlJc w:val="left"/>
      <w:pPr>
        <w:tabs>
          <w:tab w:val="num" w:pos="5760"/>
        </w:tabs>
        <w:ind w:left="5760" w:hanging="360"/>
      </w:pPr>
      <w:rPr>
        <w:rFonts w:ascii="Times New Roman" w:hAnsi="Times New Roman" w:cs="Times New Roman"/>
      </w:rPr>
    </w:lvl>
    <w:lvl w:ilvl="7" w:tplc="04190019">
      <w:start w:val="1"/>
      <w:numFmt w:val="lowerLetter"/>
      <w:lvlText w:val="%8."/>
      <w:lvlJc w:val="left"/>
      <w:pPr>
        <w:tabs>
          <w:tab w:val="num" w:pos="6480"/>
        </w:tabs>
        <w:ind w:left="6480" w:hanging="360"/>
      </w:pPr>
      <w:rPr>
        <w:rFonts w:ascii="Times New Roman" w:hAnsi="Times New Roman" w:cs="Times New Roman"/>
      </w:rPr>
    </w:lvl>
    <w:lvl w:ilvl="8" w:tplc="0419001B">
      <w:start w:val="1"/>
      <w:numFmt w:val="lowerRoman"/>
      <w:lvlText w:val="%9."/>
      <w:lvlJc w:val="right"/>
      <w:pPr>
        <w:tabs>
          <w:tab w:val="num" w:pos="7200"/>
        </w:tabs>
        <w:ind w:left="7200" w:hanging="180"/>
      </w:pPr>
      <w:rPr>
        <w:rFonts w:ascii="Times New Roman" w:hAnsi="Times New Roman" w:cs="Times New Roman"/>
      </w:r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C9773B5"/>
    <w:multiLevelType w:val="hybridMultilevel"/>
    <w:tmpl w:val="96409682"/>
    <w:lvl w:ilvl="0" w:tplc="FFFFFFFF">
      <w:start w:val="1"/>
      <w:numFmt w:val="decimal"/>
      <w:lvlText w:val="%1."/>
      <w:lvlJc w:val="left"/>
      <w:pPr>
        <w:tabs>
          <w:tab w:val="num" w:pos="737"/>
        </w:tabs>
        <w:ind w:firstLine="72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60"/>
  </w:num>
  <w:num w:numId="50">
    <w:abstractNumId w:val="45"/>
  </w:num>
  <w:num w:numId="51">
    <w:abstractNumId w:val="57"/>
  </w:num>
  <w:num w:numId="52">
    <w:abstractNumId w:val="49"/>
  </w:num>
  <w:num w:numId="53">
    <w:abstractNumId w:val="46"/>
  </w:num>
  <w:num w:numId="54">
    <w:abstractNumId w:val="50"/>
  </w:num>
  <w:num w:numId="55">
    <w:abstractNumId w:val="44"/>
  </w:num>
  <w:num w:numId="56">
    <w:abstractNumId w:val="43"/>
  </w:num>
  <w:num w:numId="57">
    <w:abstractNumId w:val="58"/>
  </w:num>
  <w:num w:numId="58">
    <w:abstractNumId w:val="54"/>
  </w:num>
  <w:num w:numId="59">
    <w:abstractNumId w:val="55"/>
  </w:num>
  <w:num w:numId="60">
    <w:abstractNumId w:val="59"/>
  </w:num>
  <w:num w:numId="61">
    <w:abstractNumId w:val="56"/>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2AD"/>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3E13"/>
    <w:rsid w:val="00A54CA6"/>
    <w:rsid w:val="00A55104"/>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uiPriority w:val="99"/>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uiPriority w:val="99"/>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Bodytext6">
    <w:name w:val="Body text"/>
    <w:rsid w:val="00797B7B"/>
    <w:pPr>
      <w:ind w:firstLine="794"/>
      <w:jc w:val="both"/>
    </w:pPr>
    <w:rPr>
      <w:rFonts w:ascii="Times New Roman" w:eastAsia="Times New Roman" w:hAnsi="Times New Roman" w:cs="Times New Roman"/>
      <w:snapToGrid w:val="0"/>
      <w:color w:val="000000"/>
      <w:sz w:val="28"/>
    </w:rPr>
  </w:style>
  <w:style w:type="paragraph" w:customStyle="1" w:styleId="ListParagraph">
    <w:name w:val="List Paragraph"/>
    <w:basedOn w:val="af3"/>
    <w:rsid w:val="004045EB"/>
    <w:pPr>
      <w:suppressAutoHyphens w:val="0"/>
      <w:spacing w:after="200" w:line="276" w:lineRule="auto"/>
      <w:ind w:left="720"/>
    </w:pPr>
    <w:rPr>
      <w:rFonts w:ascii="Calibri" w:eastAsia="Times New Roman"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uiPriority w:val="99"/>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uiPriority w:val="99"/>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Bodytext6">
    <w:name w:val="Body text"/>
    <w:rsid w:val="00797B7B"/>
    <w:pPr>
      <w:ind w:firstLine="794"/>
      <w:jc w:val="both"/>
    </w:pPr>
    <w:rPr>
      <w:rFonts w:ascii="Times New Roman" w:eastAsia="Times New Roman" w:hAnsi="Times New Roman" w:cs="Times New Roman"/>
      <w:snapToGrid w:val="0"/>
      <w:color w:val="000000"/>
      <w:sz w:val="28"/>
    </w:rPr>
  </w:style>
  <w:style w:type="paragraph" w:customStyle="1" w:styleId="ListParagraph">
    <w:name w:val="List Paragraph"/>
    <w:basedOn w:val="af3"/>
    <w:rsid w:val="004045EB"/>
    <w:pPr>
      <w:suppressAutoHyphens w:val="0"/>
      <w:spacing w:after="200" w:line="276" w:lineRule="auto"/>
      <w:ind w:left="720"/>
    </w:pPr>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E787E-3236-4FCF-A6D7-9B2916C2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3976</TotalTime>
  <Pages>20</Pages>
  <Words>6877</Words>
  <Characters>39200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712</cp:revision>
  <cp:lastPrinted>2009-02-06T08:36:00Z</cp:lastPrinted>
  <dcterms:created xsi:type="dcterms:W3CDTF">2015-03-22T11:10:00Z</dcterms:created>
  <dcterms:modified xsi:type="dcterms:W3CDTF">2015-09-03T12:46:00Z</dcterms:modified>
</cp:coreProperties>
</file>