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F4C8" w14:textId="77777777" w:rsidR="00EB0B1C" w:rsidRDefault="00EB0B1C" w:rsidP="00EB0B1C">
      <w:pPr>
        <w:pStyle w:val="210"/>
        <w:shd w:val="clear" w:color="auto" w:fill="auto"/>
        <w:spacing w:after="0" w:line="280" w:lineRule="exact"/>
        <w:ind w:left="260"/>
      </w:pPr>
      <w:r>
        <w:rPr>
          <w:rStyle w:val="21"/>
          <w:color w:val="000000"/>
        </w:rPr>
        <w:t>ФГБОУ ВО «Тульский государственный педагогический университет</w:t>
      </w:r>
    </w:p>
    <w:p w14:paraId="645D912B" w14:textId="129262CC" w:rsidR="00EB0B1C" w:rsidRDefault="00EB0B1C" w:rsidP="00EB0B1C">
      <w:pPr>
        <w:pStyle w:val="210"/>
        <w:shd w:val="clear" w:color="auto" w:fill="auto"/>
        <w:spacing w:after="0" w:line="280" w:lineRule="exact"/>
        <w:ind w:left="326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1B39B2C6" wp14:editId="3AB6D190">
                <wp:simplePos x="0" y="0"/>
                <wp:positionH relativeFrom="margin">
                  <wp:posOffset>4629785</wp:posOffset>
                </wp:positionH>
                <wp:positionV relativeFrom="paragraph">
                  <wp:posOffset>798830</wp:posOffset>
                </wp:positionV>
                <wp:extent cx="682625" cy="1107440"/>
                <wp:effectExtent l="1270" t="0" r="1905" b="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54C79" w14:textId="77777777" w:rsidR="00EB0B1C" w:rsidRDefault="00EB0B1C" w:rsidP="00EB0B1C">
                            <w:pPr>
                              <w:pStyle w:val="af5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На правах рукописи</w:t>
                            </w:r>
                          </w:p>
                          <w:p w14:paraId="08537050" w14:textId="41EB5550" w:rsidR="00EB0B1C" w:rsidRDefault="00EB0B1C" w:rsidP="00EB0B1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0AA228D6" wp14:editId="2E139FEF">
                                  <wp:extent cx="685800" cy="393700"/>
                                  <wp:effectExtent l="0" t="0" r="0" b="635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393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9B2C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64.55pt;margin-top:62.9pt;width:53.75pt;height:87.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04AQIAALwDAAAOAAAAZHJzL2Uyb0RvYy54bWysU8GO0zAQvSPxD5bvNE13Kauo6WrZVRHS&#10;AistfIDrOIlF4jFjt0m5cecX9h84cOC2v9D9I8ZOUxa4IS7WeDx+fvPmeXHetw3bKnQaTM7TyZQz&#10;ZSQU2lQ5//B+9eyMM+eFKUQDRuV8pxw/Xz59suhspmZQQ1MoZARiXNbZnNfe2yxJnKxVK9wErDJ0&#10;WAK2wtMWq6RA0RF62ySz6XSedICFRZDKOcpeDYd8GfHLUkn/riyd8qzJOXHzccW4rsOaLBciq1DY&#10;WssDDfEPLFqhDT16hLoSXrAN6r+gWi0RHJR+IqFNoCy1VLEH6iad/tHNbS2sir2QOM4eZXL/D1a+&#10;3d4g00XOTzgzoqUR7e/23/bf9/f7Hw9fHr6yk6BRZ11GpbeWin3/EnqadezX2WuQHx0zcFkLU6kL&#10;ROhqJQrimIabyaOrA44LIOvuDRT0mNh4iEB9iW0QkCRhhE6z2h3no3rPJCXnZ7P57Dlnko7SdPri&#10;9DQOMBHZeNui868UtCwEOUeaf0QX22vnAxuRjSXhMQMr3TTRA435LUGFIRPZB8IDdd+v+4Maayh2&#10;1AfCYCn6AhTUgJ8568hOOXefNgIVZ81rQ1oE740BjsF6DISRdDXnnrMhvPSDRzcWdVUT8qj2Bem1&#10;0rGVIOzA4sCTLBI7PNg5ePDxPlb9+nTLnwAAAP//AwBQSwMEFAAGAAgAAAAhAHQcLc7fAAAACwEA&#10;AA8AAABkcnMvZG93bnJldi54bWxMj8tOwzAQRfdI/IM1SGwQ9aMitCFOhRBs2FHYsHOTIYmIx1Hs&#10;JqFfz7Ciy9E9unNusVt8LyYcYxfIgl4pEEhVqDtqLHy8v9xuQMTkqHZ9ILTwgxF25eVF4fI6zPSG&#10;0z41gkso5s5Cm9KQSxmrFr2LqzAgcfYVRu8Sn2Mj69HNXO57aZTKpHcd8YfWDfjUYvW9P3oL2fI8&#10;3Lxu0cynqp/o86R1Qm3t9dXy+AAi4ZL+YfjTZ3Uo2ekQjlRH0Vu4N1vNKAfmjjcwsVlnGYiDhbVS&#10;BmRZyPMN5S8AAAD//wMAUEsBAi0AFAAGAAgAAAAhALaDOJL+AAAA4QEAABMAAAAAAAAAAAAAAAAA&#10;AAAAAFtDb250ZW50X1R5cGVzXS54bWxQSwECLQAUAAYACAAAACEAOP0h/9YAAACUAQAACwAAAAAA&#10;AAAAAAAAAAAvAQAAX3JlbHMvLnJlbHNQSwECLQAUAAYACAAAACEAMAGNOAECAAC8AwAADgAAAAAA&#10;AAAAAAAAAAAuAgAAZHJzL2Uyb0RvYy54bWxQSwECLQAUAAYACAAAACEAdBwtzt8AAAALAQAADwAA&#10;AAAAAAAAAAAAAABbBAAAZHJzL2Rvd25yZXYueG1sUEsFBgAAAAAEAAQA8wAAAGcFAAAAAA==&#10;" filled="f" stroked="f">
                <v:textbox style="mso-fit-shape-to-text:t" inset="0,0,0,0">
                  <w:txbxContent>
                    <w:p w14:paraId="0A054C79" w14:textId="77777777" w:rsidR="00EB0B1C" w:rsidRDefault="00EB0B1C" w:rsidP="00EB0B1C">
                      <w:pPr>
                        <w:pStyle w:val="af5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Exact"/>
                          <w:color w:val="000000"/>
                        </w:rPr>
                        <w:t>На правах рукописи</w:t>
                      </w:r>
                    </w:p>
                    <w:p w14:paraId="08537050" w14:textId="41EB5550" w:rsidR="00EB0B1C" w:rsidRDefault="00EB0B1C" w:rsidP="00EB0B1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 wp14:anchorId="0AA228D6" wp14:editId="2E139FEF">
                            <wp:extent cx="685800" cy="393700"/>
                            <wp:effectExtent l="0" t="0" r="0" b="635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393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1"/>
          <w:color w:val="000000"/>
        </w:rPr>
        <w:t>им. Л. Н. Толстого»</w:t>
      </w:r>
    </w:p>
    <w:p w14:paraId="749709C4" w14:textId="77777777" w:rsidR="00EB0B1C" w:rsidRDefault="00EB0B1C" w:rsidP="00EB0B1C">
      <w:pPr>
        <w:pStyle w:val="210"/>
        <w:shd w:val="clear" w:color="auto" w:fill="auto"/>
        <w:spacing w:after="1241" w:line="280" w:lineRule="exact"/>
        <w:ind w:right="60"/>
      </w:pPr>
      <w:r>
        <w:rPr>
          <w:rStyle w:val="21"/>
          <w:color w:val="000000"/>
        </w:rPr>
        <w:t>Новикова Марина Геннадьевна</w:t>
      </w:r>
    </w:p>
    <w:p w14:paraId="615E9AAA" w14:textId="77777777" w:rsidR="00EB0B1C" w:rsidRDefault="00EB0B1C" w:rsidP="00EB0B1C">
      <w:pPr>
        <w:pStyle w:val="310"/>
        <w:shd w:val="clear" w:color="auto" w:fill="auto"/>
        <w:spacing w:before="0" w:after="727"/>
        <w:ind w:left="20"/>
      </w:pPr>
      <w:r>
        <w:rPr>
          <w:rStyle w:val="3"/>
          <w:b w:val="0"/>
          <w:bCs w:val="0"/>
          <w:color w:val="000000"/>
        </w:rPr>
        <w:t>ФОРМИРОВАНИЕ ПРОФЕССИОНАЛЬНОЙ НАПРАВЛЕННОСТИ</w:t>
      </w:r>
      <w:r>
        <w:rPr>
          <w:rStyle w:val="3"/>
          <w:b w:val="0"/>
          <w:bCs w:val="0"/>
          <w:color w:val="000000"/>
        </w:rPr>
        <w:br/>
        <w:t>БУДУЩИХ ЭКОНОМИСТОВ В ПРОЦЕССЕ ОБУЧЕНИЯ В ВУЗЕ</w:t>
      </w:r>
      <w:r>
        <w:rPr>
          <w:rStyle w:val="3"/>
          <w:b w:val="0"/>
          <w:bCs w:val="0"/>
          <w:color w:val="000000"/>
        </w:rPr>
        <w:br/>
      </w:r>
      <w:r>
        <w:rPr>
          <w:rStyle w:val="21"/>
          <w:b/>
          <w:bCs/>
          <w:color w:val="000000"/>
        </w:rPr>
        <w:t>5.8.7. Методология и технология профессионального образования</w:t>
      </w:r>
    </w:p>
    <w:p w14:paraId="05604C58" w14:textId="77777777" w:rsidR="00EB0B1C" w:rsidRDefault="00EB0B1C" w:rsidP="00EB0B1C">
      <w:pPr>
        <w:pStyle w:val="210"/>
        <w:shd w:val="clear" w:color="auto" w:fill="auto"/>
        <w:spacing w:after="1744" w:line="326" w:lineRule="exact"/>
        <w:ind w:left="20"/>
      </w:pPr>
      <w:r>
        <w:rPr>
          <w:rStyle w:val="21"/>
          <w:color w:val="000000"/>
        </w:rPr>
        <w:t>Диссертация на соискание учёной степени</w:t>
      </w:r>
      <w:r>
        <w:rPr>
          <w:rStyle w:val="21"/>
          <w:color w:val="000000"/>
        </w:rPr>
        <w:br/>
        <w:t>кандидата педагогических наук</w:t>
      </w:r>
    </w:p>
    <w:p w14:paraId="5A5D849D" w14:textId="77777777" w:rsidR="00EB0B1C" w:rsidRDefault="00EB0B1C" w:rsidP="00EB0B1C">
      <w:pPr>
        <w:pStyle w:val="210"/>
        <w:shd w:val="clear" w:color="auto" w:fill="auto"/>
        <w:spacing w:after="0" w:line="322" w:lineRule="exact"/>
        <w:ind w:left="4580"/>
      </w:pPr>
      <w:r>
        <w:rPr>
          <w:rStyle w:val="21"/>
          <w:color w:val="000000"/>
        </w:rPr>
        <w:t>Научный руководитель:</w:t>
      </w:r>
    </w:p>
    <w:p w14:paraId="50B56129" w14:textId="77777777" w:rsidR="00EB0B1C" w:rsidRDefault="00EB0B1C" w:rsidP="00EB0B1C">
      <w:pPr>
        <w:pStyle w:val="210"/>
        <w:shd w:val="clear" w:color="auto" w:fill="auto"/>
        <w:spacing w:after="0" w:line="322" w:lineRule="exact"/>
        <w:ind w:left="4580"/>
      </w:pPr>
      <w:r>
        <w:rPr>
          <w:rStyle w:val="21"/>
          <w:color w:val="000000"/>
        </w:rPr>
        <w:t>доктор педагогических наук, профессор</w:t>
      </w:r>
    </w:p>
    <w:p w14:paraId="595D51D6" w14:textId="77777777" w:rsidR="00EB0B1C" w:rsidRDefault="00EB0B1C" w:rsidP="00EB0B1C">
      <w:pPr>
        <w:pStyle w:val="210"/>
        <w:shd w:val="clear" w:color="auto" w:fill="auto"/>
        <w:spacing w:after="1593" w:line="322" w:lineRule="exact"/>
        <w:ind w:left="4580"/>
      </w:pPr>
      <w:r>
        <w:rPr>
          <w:rStyle w:val="21"/>
          <w:color w:val="000000"/>
        </w:rPr>
        <w:t>Федотенко Инна Леонидовна</w:t>
      </w:r>
    </w:p>
    <w:p w14:paraId="6C1966D1" w14:textId="77777777" w:rsidR="00EB0B1C" w:rsidRDefault="00EB0B1C" w:rsidP="00EB0B1C">
      <w:pPr>
        <w:pStyle w:val="210"/>
        <w:shd w:val="clear" w:color="auto" w:fill="auto"/>
        <w:spacing w:after="0" w:line="280" w:lineRule="exact"/>
        <w:ind w:left="20"/>
      </w:pPr>
      <w:r>
        <w:rPr>
          <w:rStyle w:val="21"/>
          <w:color w:val="000000"/>
        </w:rPr>
        <w:lastRenderedPageBreak/>
        <w:t>Тула - 2023</w:t>
      </w:r>
      <w:r>
        <w:br w:type="page"/>
      </w:r>
    </w:p>
    <w:p w14:paraId="258A453B" w14:textId="77777777" w:rsidR="00EB0B1C" w:rsidRDefault="00EB0B1C" w:rsidP="00EB0B1C">
      <w:pPr>
        <w:pStyle w:val="310"/>
        <w:shd w:val="clear" w:color="auto" w:fill="auto"/>
        <w:spacing w:before="0" w:after="472" w:line="280" w:lineRule="exact"/>
        <w:ind w:left="20"/>
      </w:pPr>
      <w:r>
        <w:rPr>
          <w:rStyle w:val="3"/>
          <w:b w:val="0"/>
          <w:bCs w:val="0"/>
          <w:color w:val="000000"/>
        </w:rPr>
        <w:lastRenderedPageBreak/>
        <w:t>Оглавление</w:t>
      </w:r>
    </w:p>
    <w:p w14:paraId="448EB217" w14:textId="77777777" w:rsidR="00EB0B1C" w:rsidRDefault="00EB0B1C" w:rsidP="00EB0B1C">
      <w:pPr>
        <w:pStyle w:val="17"/>
        <w:tabs>
          <w:tab w:val="right" w:leader="dot" w:pos="9930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19"/>
          <w:color w:val="000000"/>
        </w:rPr>
        <w:t>ВВЕДЕНИЕ</w:t>
      </w:r>
      <w:r>
        <w:rPr>
          <w:rStyle w:val="19"/>
          <w:color w:val="000000"/>
        </w:rPr>
        <w:tab/>
        <w:t>3</w:t>
      </w:r>
    </w:p>
    <w:p w14:paraId="3152E50A" w14:textId="77777777" w:rsidR="00EB0B1C" w:rsidRDefault="00EB0B1C" w:rsidP="0090352E">
      <w:pPr>
        <w:pStyle w:val="17"/>
        <w:widowControl w:val="0"/>
        <w:numPr>
          <w:ilvl w:val="0"/>
          <w:numId w:val="1"/>
        </w:numPr>
        <w:tabs>
          <w:tab w:val="left" w:pos="349"/>
        </w:tabs>
        <w:spacing w:after="0" w:line="480" w:lineRule="exact"/>
        <w:jc w:val="both"/>
      </w:pPr>
      <w:hyperlink w:anchor="bookmark1" w:tooltip="Current Document" w:history="1">
        <w:r>
          <w:rPr>
            <w:rStyle w:val="19"/>
            <w:color w:val="000000"/>
          </w:rPr>
          <w:t>ТЕОРЕТИКО-МЕТОДОЛОГИЧЕСКИЕ ОСНОВЫ ФОРМИРОВАНИЯ</w:t>
        </w:r>
      </w:hyperlink>
    </w:p>
    <w:p w14:paraId="54296B73" w14:textId="77777777" w:rsidR="00EB0B1C" w:rsidRDefault="00EB0B1C" w:rsidP="00EB0B1C">
      <w:pPr>
        <w:pStyle w:val="17"/>
        <w:tabs>
          <w:tab w:val="right" w:leader="dot" w:pos="9930"/>
        </w:tabs>
      </w:pPr>
      <w:r>
        <w:rPr>
          <w:rStyle w:val="19"/>
          <w:color w:val="000000"/>
        </w:rPr>
        <w:t>ПРОФЕССИОНАЛЬНОЙ НАПРАВЛЕННОСТИ БАКАЛАВРОВ</w:t>
      </w:r>
      <w:r>
        <w:rPr>
          <w:rStyle w:val="19"/>
          <w:color w:val="000000"/>
        </w:rPr>
        <w:tab/>
        <w:t>21</w:t>
      </w:r>
    </w:p>
    <w:p w14:paraId="540C0B2B" w14:textId="77777777" w:rsidR="00EB0B1C" w:rsidRDefault="00EB0B1C" w:rsidP="0090352E">
      <w:pPr>
        <w:pStyle w:val="17"/>
        <w:widowControl w:val="0"/>
        <w:numPr>
          <w:ilvl w:val="1"/>
          <w:numId w:val="1"/>
        </w:numPr>
        <w:tabs>
          <w:tab w:val="left" w:pos="1008"/>
        </w:tabs>
        <w:spacing w:after="0" w:line="480" w:lineRule="exact"/>
        <w:ind w:left="520"/>
        <w:jc w:val="both"/>
      </w:pPr>
      <w:hyperlink w:anchor="bookmark2" w:tooltip="Current Document" w:history="1">
        <w:r>
          <w:rPr>
            <w:rStyle w:val="19"/>
            <w:color w:val="000000"/>
          </w:rPr>
          <w:t>Подходы к определению понятия, сущности и структуры</w:t>
        </w:r>
      </w:hyperlink>
    </w:p>
    <w:p w14:paraId="6D155C24" w14:textId="77777777" w:rsidR="00EB0B1C" w:rsidRDefault="00EB0B1C" w:rsidP="00EB0B1C">
      <w:pPr>
        <w:pStyle w:val="17"/>
        <w:tabs>
          <w:tab w:val="right" w:leader="dot" w:pos="9930"/>
        </w:tabs>
        <w:ind w:left="520"/>
      </w:pPr>
      <w:r>
        <w:rPr>
          <w:rStyle w:val="19"/>
          <w:color w:val="000000"/>
        </w:rPr>
        <w:t>профессиональной направленности</w:t>
      </w:r>
      <w:r>
        <w:rPr>
          <w:rStyle w:val="19"/>
          <w:color w:val="000000"/>
        </w:rPr>
        <w:tab/>
        <w:t>21</w:t>
      </w:r>
    </w:p>
    <w:p w14:paraId="677CC404" w14:textId="77777777" w:rsidR="00EB0B1C" w:rsidRDefault="00EB0B1C" w:rsidP="0090352E">
      <w:pPr>
        <w:pStyle w:val="17"/>
        <w:widowControl w:val="0"/>
        <w:numPr>
          <w:ilvl w:val="1"/>
          <w:numId w:val="1"/>
        </w:numPr>
        <w:tabs>
          <w:tab w:val="left" w:pos="1027"/>
        </w:tabs>
        <w:spacing w:after="0" w:line="480" w:lineRule="exact"/>
        <w:ind w:left="520"/>
        <w:jc w:val="both"/>
      </w:pPr>
      <w:hyperlink w:anchor="bookmark3" w:tooltip="Current Document" w:history="1">
        <w:r>
          <w:rPr>
            <w:rStyle w:val="19"/>
            <w:color w:val="000000"/>
          </w:rPr>
          <w:t>Психолого-педагогические основы формирования профессиональной</w:t>
        </w:r>
      </w:hyperlink>
    </w:p>
    <w:p w14:paraId="3878BFDF" w14:textId="77777777" w:rsidR="00EB0B1C" w:rsidRDefault="00EB0B1C" w:rsidP="00EB0B1C">
      <w:pPr>
        <w:pStyle w:val="17"/>
        <w:tabs>
          <w:tab w:val="right" w:leader="dot" w:pos="9930"/>
        </w:tabs>
        <w:ind w:left="520"/>
      </w:pPr>
      <w:r>
        <w:rPr>
          <w:rStyle w:val="19"/>
          <w:color w:val="000000"/>
        </w:rPr>
        <w:t>направленности студентов в вузе</w:t>
      </w:r>
      <w:r>
        <w:rPr>
          <w:rStyle w:val="19"/>
          <w:color w:val="000000"/>
        </w:rPr>
        <w:tab/>
        <w:t>40</w:t>
      </w:r>
    </w:p>
    <w:p w14:paraId="0B658F81" w14:textId="77777777" w:rsidR="00EB0B1C" w:rsidRDefault="00EB0B1C" w:rsidP="0090352E">
      <w:pPr>
        <w:pStyle w:val="17"/>
        <w:widowControl w:val="0"/>
        <w:numPr>
          <w:ilvl w:val="1"/>
          <w:numId w:val="1"/>
        </w:numPr>
        <w:tabs>
          <w:tab w:val="left" w:pos="1027"/>
        </w:tabs>
        <w:spacing w:after="0" w:line="480" w:lineRule="exact"/>
        <w:ind w:left="520"/>
        <w:jc w:val="both"/>
      </w:pPr>
      <w:hyperlink w:anchor="bookmark4" w:tooltip="Current Document" w:history="1">
        <w:r>
          <w:rPr>
            <w:rStyle w:val="19"/>
            <w:color w:val="000000"/>
          </w:rPr>
          <w:t>Модель формирования профессиональной направленности бакалавров</w:t>
        </w:r>
      </w:hyperlink>
    </w:p>
    <w:p w14:paraId="523EF1E6" w14:textId="77777777" w:rsidR="00EB0B1C" w:rsidRDefault="00EB0B1C" w:rsidP="00EB0B1C">
      <w:pPr>
        <w:pStyle w:val="17"/>
        <w:tabs>
          <w:tab w:val="right" w:leader="dot" w:pos="9930"/>
        </w:tabs>
        <w:ind w:left="520"/>
      </w:pPr>
      <w:r>
        <w:rPr>
          <w:rStyle w:val="19"/>
          <w:color w:val="000000"/>
        </w:rPr>
        <w:t>направлений подготовки «Экономика и управление»</w:t>
      </w:r>
      <w:r>
        <w:rPr>
          <w:rStyle w:val="19"/>
          <w:color w:val="000000"/>
        </w:rPr>
        <w:tab/>
        <w:t>51</w:t>
      </w:r>
    </w:p>
    <w:p w14:paraId="53D2DA92" w14:textId="77777777" w:rsidR="00EB0B1C" w:rsidRDefault="00EB0B1C" w:rsidP="00EB0B1C">
      <w:pPr>
        <w:pStyle w:val="17"/>
        <w:tabs>
          <w:tab w:val="right" w:leader="dot" w:pos="9930"/>
        </w:tabs>
        <w:ind w:left="520"/>
      </w:pPr>
      <w:r>
        <w:rPr>
          <w:rStyle w:val="19"/>
          <w:color w:val="000000"/>
        </w:rPr>
        <w:t>Выводы по второму разделу</w:t>
      </w:r>
      <w:r>
        <w:rPr>
          <w:rStyle w:val="19"/>
          <w:color w:val="000000"/>
        </w:rPr>
        <w:tab/>
        <w:t>94</w:t>
      </w:r>
    </w:p>
    <w:p w14:paraId="5B1800F5" w14:textId="77777777" w:rsidR="00EB0B1C" w:rsidRDefault="00EB0B1C" w:rsidP="0090352E">
      <w:pPr>
        <w:pStyle w:val="17"/>
        <w:widowControl w:val="0"/>
        <w:numPr>
          <w:ilvl w:val="0"/>
          <w:numId w:val="1"/>
        </w:numPr>
        <w:tabs>
          <w:tab w:val="left" w:pos="378"/>
        </w:tabs>
        <w:spacing w:after="0" w:line="480" w:lineRule="exact"/>
        <w:jc w:val="both"/>
      </w:pPr>
      <w:hyperlink w:anchor="bookmark7" w:tooltip="Current Document" w:history="1">
        <w:r>
          <w:rPr>
            <w:rStyle w:val="19"/>
            <w:color w:val="000000"/>
          </w:rPr>
          <w:t>ОПЫТНО-ЭКСПЕРИМЕНТАЛЬНАЯ РАБОТА ПО ФОРМИРОВАНИЮ</w:t>
        </w:r>
      </w:hyperlink>
    </w:p>
    <w:p w14:paraId="42E9A2C0" w14:textId="77777777" w:rsidR="00EB0B1C" w:rsidRDefault="00EB0B1C" w:rsidP="00EB0B1C">
      <w:pPr>
        <w:pStyle w:val="17"/>
        <w:tabs>
          <w:tab w:val="right" w:leader="dot" w:pos="9930"/>
        </w:tabs>
      </w:pPr>
      <w:r>
        <w:rPr>
          <w:rStyle w:val="19"/>
          <w:color w:val="000000"/>
        </w:rPr>
        <w:t>ПРОФЕССИОНАЛЬНОЙ НАПРАВЛЕННОСТИ БАКАЛАВРОВ НАПРАВЛЕНИЙ ПОДГОТОВКИ «ЭКОНОМИКА И УПРАВЛЕНИЕ»</w:t>
      </w:r>
      <w:r>
        <w:rPr>
          <w:rStyle w:val="19"/>
          <w:color w:val="000000"/>
        </w:rPr>
        <w:tab/>
        <w:t>96</w:t>
      </w:r>
    </w:p>
    <w:p w14:paraId="1815813C" w14:textId="77777777" w:rsidR="00EB0B1C" w:rsidRDefault="00EB0B1C" w:rsidP="0090352E">
      <w:pPr>
        <w:pStyle w:val="17"/>
        <w:widowControl w:val="0"/>
        <w:numPr>
          <w:ilvl w:val="1"/>
          <w:numId w:val="1"/>
        </w:numPr>
        <w:tabs>
          <w:tab w:val="left" w:pos="1037"/>
        </w:tabs>
        <w:spacing w:after="0" w:line="480" w:lineRule="exact"/>
        <w:ind w:left="520"/>
        <w:jc w:val="both"/>
      </w:pPr>
      <w:hyperlink w:anchor="bookmark8" w:tooltip="Current Document" w:history="1">
        <w:r>
          <w:rPr>
            <w:rStyle w:val="19"/>
            <w:color w:val="000000"/>
          </w:rPr>
          <w:t>Выявление уровня сформированности профессиональной направленности</w:t>
        </w:r>
      </w:hyperlink>
    </w:p>
    <w:p w14:paraId="0C0B9A57" w14:textId="77777777" w:rsidR="00EB0B1C" w:rsidRDefault="00EB0B1C" w:rsidP="00EB0B1C">
      <w:pPr>
        <w:pStyle w:val="17"/>
        <w:tabs>
          <w:tab w:val="right" w:leader="dot" w:pos="9930"/>
        </w:tabs>
        <w:ind w:left="520"/>
      </w:pPr>
      <w:r>
        <w:rPr>
          <w:rStyle w:val="19"/>
          <w:color w:val="000000"/>
        </w:rPr>
        <w:t>у бакалавров (констатирующий этап эксперимента)</w:t>
      </w:r>
      <w:r>
        <w:rPr>
          <w:rStyle w:val="19"/>
          <w:color w:val="000000"/>
        </w:rPr>
        <w:tab/>
        <w:t>96</w:t>
      </w:r>
    </w:p>
    <w:p w14:paraId="342CB048" w14:textId="77777777" w:rsidR="00EB0B1C" w:rsidRDefault="00EB0B1C" w:rsidP="0090352E">
      <w:pPr>
        <w:pStyle w:val="17"/>
        <w:widowControl w:val="0"/>
        <w:numPr>
          <w:ilvl w:val="1"/>
          <w:numId w:val="1"/>
        </w:numPr>
        <w:tabs>
          <w:tab w:val="left" w:pos="1056"/>
        </w:tabs>
        <w:spacing w:after="0" w:line="480" w:lineRule="exact"/>
        <w:ind w:left="520"/>
        <w:jc w:val="both"/>
      </w:pPr>
      <w:hyperlink w:anchor="bookmark9" w:tooltip="Current Document" w:history="1">
        <w:r>
          <w:rPr>
            <w:rStyle w:val="19"/>
            <w:color w:val="000000"/>
          </w:rPr>
          <w:t>Опытно-экспериментальная работа по реализации муниципальной модели</w:t>
        </w:r>
      </w:hyperlink>
    </w:p>
    <w:p w14:paraId="3173883C" w14:textId="77777777" w:rsidR="00EB0B1C" w:rsidRDefault="00EB0B1C" w:rsidP="00EB0B1C">
      <w:pPr>
        <w:pStyle w:val="17"/>
        <w:tabs>
          <w:tab w:val="right" w:leader="dot" w:pos="9415"/>
        </w:tabs>
        <w:ind w:left="520"/>
      </w:pPr>
      <w:r>
        <w:rPr>
          <w:rStyle w:val="19"/>
          <w:color w:val="000000"/>
        </w:rPr>
        <w:t>формирования профессиональной направленности бакалавров (формирующий этап)</w:t>
      </w:r>
      <w:r>
        <w:rPr>
          <w:rStyle w:val="19"/>
          <w:color w:val="000000"/>
        </w:rPr>
        <w:tab/>
        <w:t>120</w:t>
      </w:r>
    </w:p>
    <w:p w14:paraId="383E239D" w14:textId="77777777" w:rsidR="00EB0B1C" w:rsidRDefault="00EB0B1C" w:rsidP="0090352E">
      <w:pPr>
        <w:pStyle w:val="17"/>
        <w:widowControl w:val="0"/>
        <w:numPr>
          <w:ilvl w:val="1"/>
          <w:numId w:val="1"/>
        </w:numPr>
        <w:tabs>
          <w:tab w:val="left" w:pos="1056"/>
        </w:tabs>
        <w:spacing w:after="0" w:line="480" w:lineRule="exact"/>
        <w:ind w:left="520"/>
        <w:jc w:val="both"/>
      </w:pPr>
      <w:hyperlink w:anchor="bookmark10" w:tooltip="Current Document" w:history="1">
        <w:r>
          <w:rPr>
            <w:rStyle w:val="19"/>
            <w:color w:val="000000"/>
          </w:rPr>
          <w:t>Контрольный этап эксперимента. Анализ и интерпретация результатов</w:t>
        </w:r>
      </w:hyperlink>
    </w:p>
    <w:p w14:paraId="42E91241" w14:textId="77777777" w:rsidR="00EB0B1C" w:rsidRDefault="00EB0B1C" w:rsidP="00EB0B1C">
      <w:pPr>
        <w:pStyle w:val="17"/>
        <w:tabs>
          <w:tab w:val="right" w:leader="dot" w:pos="9930"/>
        </w:tabs>
        <w:ind w:left="520"/>
      </w:pPr>
      <w:r>
        <w:rPr>
          <w:rStyle w:val="19"/>
          <w:color w:val="000000"/>
        </w:rPr>
        <w:t>работы</w:t>
      </w:r>
      <w:r>
        <w:rPr>
          <w:rStyle w:val="19"/>
          <w:color w:val="000000"/>
        </w:rPr>
        <w:tab/>
        <w:t>137</w:t>
      </w:r>
    </w:p>
    <w:p w14:paraId="026E27C0" w14:textId="77777777" w:rsidR="00EB0B1C" w:rsidRDefault="00EB0B1C" w:rsidP="00EB0B1C">
      <w:pPr>
        <w:pStyle w:val="17"/>
        <w:tabs>
          <w:tab w:val="right" w:leader="dot" w:pos="9930"/>
        </w:tabs>
        <w:ind w:left="520"/>
      </w:pPr>
      <w:r>
        <w:rPr>
          <w:rStyle w:val="19"/>
          <w:color w:val="000000"/>
        </w:rPr>
        <w:t>Выводы по второму разделу</w:t>
      </w:r>
      <w:r>
        <w:rPr>
          <w:rStyle w:val="19"/>
          <w:color w:val="000000"/>
        </w:rPr>
        <w:tab/>
        <w:t>167</w:t>
      </w:r>
    </w:p>
    <w:p w14:paraId="56F7A5F3" w14:textId="77777777" w:rsidR="00EB0B1C" w:rsidRDefault="00EB0B1C" w:rsidP="00EB0B1C">
      <w:pPr>
        <w:pStyle w:val="17"/>
        <w:tabs>
          <w:tab w:val="right" w:leader="dot" w:pos="9930"/>
        </w:tabs>
      </w:pPr>
      <w:hyperlink w:anchor="bookmark16" w:tooltip="Current Document" w:history="1">
        <w:r>
          <w:rPr>
            <w:rStyle w:val="19"/>
            <w:color w:val="000000"/>
          </w:rPr>
          <w:t>ЗАКЛЮЧЕНИЕ</w:t>
        </w:r>
        <w:r>
          <w:rPr>
            <w:rStyle w:val="19"/>
            <w:color w:val="000000"/>
          </w:rPr>
          <w:tab/>
          <w:t>172</w:t>
        </w:r>
      </w:hyperlink>
    </w:p>
    <w:p w14:paraId="75A633C4" w14:textId="77777777" w:rsidR="00EB0B1C" w:rsidRDefault="00EB0B1C" w:rsidP="00EB0B1C">
      <w:pPr>
        <w:pStyle w:val="17"/>
        <w:tabs>
          <w:tab w:val="right" w:leader="dot" w:pos="9930"/>
        </w:tabs>
      </w:pPr>
      <w:r>
        <w:rPr>
          <w:rStyle w:val="19"/>
          <w:color w:val="000000"/>
        </w:rPr>
        <w:t>СПИСОК ЛИТЕРАТУРЫ</w:t>
      </w:r>
      <w:r>
        <w:rPr>
          <w:rStyle w:val="19"/>
          <w:color w:val="000000"/>
        </w:rPr>
        <w:tab/>
        <w:t>175</w:t>
      </w:r>
    </w:p>
    <w:p w14:paraId="1538DF9B" w14:textId="41159280" w:rsidR="004033BC" w:rsidRDefault="00EB0B1C" w:rsidP="00EB0B1C">
      <w:r>
        <w:rPr>
          <w:b/>
          <w:bCs/>
        </w:rPr>
        <w:fldChar w:fldCharType="end"/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0F8C0B82" wp14:editId="0A2D535A">
                <wp:simplePos x="0" y="0"/>
                <wp:positionH relativeFrom="margin">
                  <wp:posOffset>6077585</wp:posOffset>
                </wp:positionH>
                <wp:positionV relativeFrom="paragraph">
                  <wp:posOffset>-20320</wp:posOffset>
                </wp:positionV>
                <wp:extent cx="277495" cy="177800"/>
                <wp:effectExtent l="1270" t="4445" r="0" b="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85BAA" w14:textId="77777777" w:rsidR="00EB0B1C" w:rsidRDefault="00EB0B1C" w:rsidP="00EB0B1C">
                            <w:pPr>
                              <w:pStyle w:val="210"/>
                              <w:shd w:val="clear" w:color="auto" w:fill="auto"/>
                              <w:spacing w:after="0" w:line="28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199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C0B82" id="Надпись 1" o:spid="_x0000_s1027" type="#_x0000_t202" style="position:absolute;margin-left:478.55pt;margin-top:-1.6pt;width:21.85pt;height:14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q0WAAIAAMIDAAAOAAAAZHJzL2Uyb0RvYy54bWysU82O0zAQviPxDpbvNGkFdImarpZdFSEt&#10;P9LCA7iO01gkHjN2m5Qbd15h34EDB268QvaNGDtJWeCGuFjj8fjz930zXp13Tc0OCp0Gk/P5LOVM&#10;GQmFNrucv3+3eXTGmfPCFKIGo3J+VI6frx8+WLU2UwuooC4UMgIxLmttzivvbZYkTlaqEW4GVhk6&#10;LAEb4WmLu6RA0RJ6UyeLNH2atICFRZDKOcpeDYd8HfHLUkn/piyd8qzOOXHzccW4bsOarFci26Gw&#10;lZYjDfEPLBqhDT16groSXrA96r+gGi0RHJR+JqFJoCy1VFEDqZmnf6i5qYRVUQuZ4+zJJvf/YOXr&#10;w1tkuqDecWZEQy3qb/uv/bf+R//97vPdFzYPHrXWZVR6Y6nYd8+hC/VBr7PXID84ZuCyEmanLhCh&#10;rZQoiGO8mdy7OuC4ALJtX0FBj4m9hwjUldgEQLKEETr16njqj+o8k5RcLJePnz3hTNLRfLk8S2P/&#10;EpFNly06/0JBw0KQc6T2R3BxuHaeZFDpVBLeMrDRdR1HoDa/JagwZCL5wHdg7rttN3o1erKF4khq&#10;EIbBoo9AQQX4ibOWhirn7uNeoOKsfmnIkTCBU4BTsJ0CYSRdzbnnbAgv/TCpe4t6VxHy5PkFubbR&#10;UVGwd2Ax0qVBiULHoQ6TeH8fq359vfVPAAAA//8DAFBLAwQUAAYACAAAACEA4gKUWN4AAAAKAQAA&#10;DwAAAGRycy9kb3ducmV2LnhtbEyPMU/DMBCFdyT+g3VILKi1HaC0IZcKIVjYWljY3PhIIuJzFLtJ&#10;6K/HnWA83af3vldsZ9eJkYbQekbQSwWCuPK25Rrh4/11sQYRomFrOs+E8EMBtuXlRWFy6yfe0biP&#10;tUghHHKD0MTY51KGqiFnwtL3xOn35QdnYjqHWtrBTCncdTJTaiWdaTk1NKan54aq7/3RIazml/7m&#10;bUPZdKq6kT9PWkfSiNdX89MjiEhz/IPhrJ/UoUxOB39kG0SHsLl/0AlFWNxmIM6AUiqNOSBkd2uQ&#10;ZSH/Tyh/AQAA//8DAFBLAQItABQABgAIAAAAIQC2gziS/gAAAOEBAAATAAAAAAAAAAAAAAAAAAAA&#10;AABbQ29udGVudF9UeXBlc10ueG1sUEsBAi0AFAAGAAgAAAAhADj9If/WAAAAlAEAAAsAAAAAAAAA&#10;AAAAAAAALwEAAF9yZWxzLy5yZWxzUEsBAi0AFAAGAAgAAAAhAL9SrRYAAgAAwgMAAA4AAAAAAAAA&#10;AAAAAAAALgIAAGRycy9lMm9Eb2MueG1sUEsBAi0AFAAGAAgAAAAhAOIClFjeAAAACgEAAA8AAAAA&#10;AAAAAAAAAAAAWgQAAGRycy9kb3ducmV2LnhtbFBLBQYAAAAABAAEAPMAAABlBQAAAAA=&#10;" filled="f" stroked="f">
                <v:textbox style="mso-fit-shape-to-text:t" inset="0,0,0,0">
                  <w:txbxContent>
                    <w:p w14:paraId="50C85BAA" w14:textId="77777777" w:rsidR="00EB0B1C" w:rsidRDefault="00EB0B1C" w:rsidP="00EB0B1C">
                      <w:pPr>
                        <w:pStyle w:val="210"/>
                        <w:shd w:val="clear" w:color="auto" w:fill="auto"/>
                        <w:spacing w:after="0" w:line="28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199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hyperlink w:anchor="bookmark18" w:tooltip="Current Document" w:history="1">
        <w:r>
          <w:rPr>
            <w:rStyle w:val="21"/>
            <w:color w:val="000000"/>
          </w:rPr>
          <w:t>ПРИЛОЖЕНИЯ</w:t>
        </w:r>
      </w:hyperlink>
    </w:p>
    <w:p w14:paraId="73A20BAB" w14:textId="55BFE113" w:rsidR="00EB0B1C" w:rsidRDefault="00EB0B1C" w:rsidP="00EB0B1C"/>
    <w:p w14:paraId="3D2A8C84" w14:textId="2360282D" w:rsidR="00EB0B1C" w:rsidRDefault="00EB0B1C" w:rsidP="00EB0B1C"/>
    <w:p w14:paraId="4D6814B7" w14:textId="77777777" w:rsidR="00EB0B1C" w:rsidRDefault="00EB0B1C" w:rsidP="00EB0B1C">
      <w:pPr>
        <w:pStyle w:val="15"/>
        <w:keepNext/>
        <w:keepLines/>
        <w:shd w:val="clear" w:color="auto" w:fill="auto"/>
        <w:spacing w:after="357" w:line="280" w:lineRule="exact"/>
      </w:pPr>
      <w:bookmarkStart w:id="0" w:name="bookmark15"/>
      <w:bookmarkStart w:id="1" w:name="bookmark16"/>
      <w:r>
        <w:rPr>
          <w:rStyle w:val="14"/>
          <w:color w:val="000000"/>
        </w:rPr>
        <w:t>ЗАКЛЮЧЕНИЕ</w:t>
      </w:r>
      <w:bookmarkEnd w:id="0"/>
      <w:bookmarkEnd w:id="1"/>
    </w:p>
    <w:p w14:paraId="2CEF9A6E" w14:textId="77777777" w:rsidR="00EB0B1C" w:rsidRDefault="00EB0B1C" w:rsidP="00EB0B1C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 xml:space="preserve">В быстро меняющемся современном мире перед высшим образованием стоит задача подготовить качественных и востребованных в регионе специалистов, которые смогут быстро адаптироваться в профессии, найти работу </w:t>
      </w:r>
      <w:r>
        <w:rPr>
          <w:rStyle w:val="21"/>
          <w:color w:val="000000"/>
        </w:rPr>
        <w:lastRenderedPageBreak/>
        <w:t>по специальности, творчески и профессионально реализоваться, обеспечивать свою семью, работать и созидать на благо нашей страны. Задача каждого образовательного учреждения состоит в том, чтобы максимально приблизить образовательный процесс к современным профессиональным реалиям. Выпускник сегодня — это быстро реагирующий, перестраивающийся человек, который должен обладать большим набором компетенций как профессиональных, так общекультурных и творческих. Он должен понимать сущность и социальную значимость своей профессии, иметь высокую мотивацию к работе, устойчивый интерес, чёткие цели и убеждения и быстро подстраиваться под требования работодателя. Добиться этого, учитывая особенности современной молодёжи, которые выросли в достатке и «тепличных» условиях не просто. Решение данной задачи напрямую зависит от созданных в вузе условий, самым значимым из которых являются условия для формирования профессиональной направленности будущих выпускников, в нашем случае - экономистов. Поэтому тема данного исследования своевременна и актуальна.</w:t>
      </w:r>
    </w:p>
    <w:p w14:paraId="7F0441A7" w14:textId="77777777" w:rsidR="00EB0B1C" w:rsidRDefault="00EB0B1C" w:rsidP="00EB0B1C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Опытно-экспериментальная работа подтвердила гипотезу о продуктивности внедрения в образовательный процесс вуза муниципальной модели формирования профессиональной направленности будущих экономистов.</w:t>
      </w:r>
    </w:p>
    <w:p w14:paraId="61579FBF" w14:textId="77777777" w:rsidR="00EB0B1C" w:rsidRDefault="00EB0B1C" w:rsidP="00EB0B1C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Подведём итог теоретических и эмпирических результатов диссертационного исследования:</w:t>
      </w:r>
    </w:p>
    <w:p w14:paraId="79985ACB" w14:textId="77777777" w:rsidR="00EB0B1C" w:rsidRDefault="00EB0B1C" w:rsidP="0090352E">
      <w:pPr>
        <w:pStyle w:val="210"/>
        <w:numPr>
          <w:ilvl w:val="0"/>
          <w:numId w:val="2"/>
        </w:numPr>
        <w:shd w:val="clear" w:color="auto" w:fill="auto"/>
        <w:tabs>
          <w:tab w:val="left" w:pos="374"/>
        </w:tabs>
        <w:spacing w:before="0" w:after="0" w:line="480" w:lineRule="exact"/>
        <w:jc w:val="both"/>
      </w:pPr>
      <w:r>
        <w:rPr>
          <w:rStyle w:val="21"/>
          <w:color w:val="000000"/>
        </w:rPr>
        <w:t xml:space="preserve">Выполненный нами анализ научной литературы по теме исследования, позволяет считать, что проблеме формирования профессиональной направленности у студентов вуза посвящено много научных исследований, </w:t>
      </w:r>
      <w:r>
        <w:rPr>
          <w:rStyle w:val="21"/>
          <w:color w:val="000000"/>
        </w:rPr>
        <w:lastRenderedPageBreak/>
        <w:t xml:space="preserve">применены различные подходы к изучению её сущности и содержания. Однако эти работы не имеют однозначного толкования данного феномена и большинство из них устарело и не учитывает специфики современных студентов. Наибольшее распространение имеют научные доводы, позиционирующие профессиональную направленность как систему сформированных у студента устойчивых убеждений, мотивов, профессиональных целей, творческих способностей, интересов, потребностей и идеалов. В данной работе профессиональная направленность студента вуза рассматривается как целостный интегративный конструкт, включающий четыре основных компонента: когнитивный, </w:t>
      </w:r>
      <w:proofErr w:type="spellStart"/>
      <w:r>
        <w:rPr>
          <w:rStyle w:val="21"/>
          <w:color w:val="000000"/>
        </w:rPr>
        <w:t>операционально</w:t>
      </w:r>
      <w:r>
        <w:rPr>
          <w:rStyle w:val="21"/>
          <w:color w:val="000000"/>
        </w:rPr>
        <w:softHyphen/>
        <w:t>деятельностный</w:t>
      </w:r>
      <w:proofErr w:type="spellEnd"/>
      <w:r>
        <w:rPr>
          <w:rStyle w:val="21"/>
          <w:color w:val="000000"/>
        </w:rPr>
        <w:t>, эмоционально-ценностный и конативный. Профессиональная направленность в данном случае выступает движущей силой профессионального самоопределения и саморазвития.</w:t>
      </w:r>
    </w:p>
    <w:p w14:paraId="64E019FA" w14:textId="77777777" w:rsidR="00EB0B1C" w:rsidRDefault="00EB0B1C" w:rsidP="0090352E">
      <w:pPr>
        <w:pStyle w:val="210"/>
        <w:numPr>
          <w:ilvl w:val="0"/>
          <w:numId w:val="2"/>
        </w:numPr>
        <w:shd w:val="clear" w:color="auto" w:fill="auto"/>
        <w:tabs>
          <w:tab w:val="left" w:pos="374"/>
        </w:tabs>
        <w:spacing w:before="0" w:after="0" w:line="480" w:lineRule="exact"/>
        <w:jc w:val="both"/>
      </w:pPr>
      <w:r>
        <w:rPr>
          <w:rStyle w:val="21"/>
          <w:color w:val="000000"/>
        </w:rPr>
        <w:t xml:space="preserve">Целесообразной и продуктивной формой взаимодействия с предприятиями оказалось создание научной-производственно-образовательной площадки, формирование в ее рамках </w:t>
      </w:r>
      <w:proofErr w:type="spellStart"/>
      <w:r>
        <w:rPr>
          <w:rStyle w:val="21"/>
          <w:color w:val="000000"/>
        </w:rPr>
        <w:t>полисубъектной</w:t>
      </w:r>
      <w:proofErr w:type="spellEnd"/>
      <w:r>
        <w:rPr>
          <w:rStyle w:val="21"/>
          <w:color w:val="000000"/>
        </w:rPr>
        <w:t xml:space="preserve"> общности, созданной на основе партнёрства и взаимодействия с работодателями и всеми заинтересованными сторонами. Элементы такого взаимодействия органично вписаны в педагогический процесс университета, направлены на стимулирование познавательной и социальной мотивации студентов, на обогащение всех структурных компонентов профессиональной направленности.</w:t>
      </w:r>
    </w:p>
    <w:p w14:paraId="04516BF5" w14:textId="77777777" w:rsidR="00EB0B1C" w:rsidRDefault="00EB0B1C" w:rsidP="0090352E">
      <w:pPr>
        <w:pStyle w:val="210"/>
        <w:numPr>
          <w:ilvl w:val="0"/>
          <w:numId w:val="2"/>
        </w:numPr>
        <w:shd w:val="clear" w:color="auto" w:fill="auto"/>
        <w:tabs>
          <w:tab w:val="left" w:pos="375"/>
        </w:tabs>
        <w:spacing w:before="0" w:after="0" w:line="480" w:lineRule="exact"/>
        <w:jc w:val="both"/>
      </w:pPr>
      <w:r>
        <w:rPr>
          <w:rStyle w:val="21"/>
          <w:color w:val="000000"/>
        </w:rPr>
        <w:t xml:space="preserve">Муниципальная модель формирования профессиональной направленности будущих экономистов состоит из целевого, научно-методологического, содержательного, технологического, деятельностного и результативного блоков. Основана на взаимодействии преподавателей, студентов, школьников, сотрудников Центра Карьеры, предприятий и организаций муниципалитета, Администрации округа, молодежной биржи труда, центра занятости населения. Рассматривается как динамичный деятельностный и действенный механизм, </w:t>
      </w:r>
      <w:r>
        <w:rPr>
          <w:rStyle w:val="21"/>
          <w:color w:val="000000"/>
        </w:rPr>
        <w:lastRenderedPageBreak/>
        <w:t>который обеспечивает успешное формирование профессиональной направленности у бакалавров в процессе обучения в вузе.</w:t>
      </w:r>
    </w:p>
    <w:p w14:paraId="42A74B34" w14:textId="77777777" w:rsidR="00EB0B1C" w:rsidRDefault="00EB0B1C" w:rsidP="0090352E">
      <w:pPr>
        <w:pStyle w:val="210"/>
        <w:numPr>
          <w:ilvl w:val="0"/>
          <w:numId w:val="2"/>
        </w:numPr>
        <w:shd w:val="clear" w:color="auto" w:fill="auto"/>
        <w:tabs>
          <w:tab w:val="left" w:pos="374"/>
        </w:tabs>
        <w:spacing w:before="0" w:after="0" w:line="480" w:lineRule="exact"/>
        <w:jc w:val="both"/>
      </w:pPr>
      <w:r>
        <w:rPr>
          <w:rStyle w:val="21"/>
          <w:color w:val="000000"/>
        </w:rPr>
        <w:t>Определение компонентов сформированности профессиональной направленности таких, как когнитивный, эмоционально-ценностный, операционально-деятельностный, конативный и ранжирование уровней студентов достаточный, фрагментарный, минимальный обеспечивает более объективную оценку сформированности профессиональной направленности у бакалавров, их готовности к результативной профессиональной деятельности.</w:t>
      </w:r>
    </w:p>
    <w:p w14:paraId="26FCE262" w14:textId="77777777" w:rsidR="00EB0B1C" w:rsidRDefault="00EB0B1C" w:rsidP="00EB0B1C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 xml:space="preserve">Применение таких подходов как </w:t>
      </w:r>
      <w:proofErr w:type="spellStart"/>
      <w:r>
        <w:rPr>
          <w:rStyle w:val="21"/>
          <w:color w:val="000000"/>
        </w:rPr>
        <w:t>полисубъектный</w:t>
      </w:r>
      <w:proofErr w:type="spellEnd"/>
      <w:r>
        <w:rPr>
          <w:rStyle w:val="21"/>
          <w:color w:val="000000"/>
        </w:rPr>
        <w:t xml:space="preserve">, системный, деятельностный, аксиологический, а также ряда теорий (концепции профессионального самоопределения и развития личности, «якорной модели» профессионального развития; теории инклюзии, теории поколений и др.) позволило нам: провести анализ существующего уровня профессиональной направленности студентов, создать </w:t>
      </w:r>
      <w:proofErr w:type="spellStart"/>
      <w:r>
        <w:rPr>
          <w:rStyle w:val="21"/>
          <w:color w:val="000000"/>
        </w:rPr>
        <w:t>полисубъектную</w:t>
      </w:r>
      <w:proofErr w:type="spellEnd"/>
      <w:r>
        <w:rPr>
          <w:rStyle w:val="21"/>
          <w:color w:val="000000"/>
        </w:rPr>
        <w:t xml:space="preserve"> общность; выявить и реализовать социально-педагогические, организационно-технологические и психологические условия формирования профессиональной направленности бакалавров, будущих экономистов; систематизировать, проанализировать, обобщить и представить полученный опыт. Исследование подтвердило гипотезу о результативности внедрения в образовательный процесс вуза муниципальной модели формирования профессиональной направленности бакалавров (на примере направления подготовки «Экономики и управления»). На основе полученных данных, мы убедились, что методика оценки уровня профессиональной направленности бакалавров, обеспечивает валидность и мобильность её применения в образовательном процессе вуза.</w:t>
      </w:r>
    </w:p>
    <w:p w14:paraId="4E8590EF" w14:textId="77777777" w:rsidR="00EB0B1C" w:rsidRDefault="00EB0B1C" w:rsidP="00EB0B1C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В настоящее время автор продолжает работу по взаимодействию с работодателями и формированию профессиональной направленности у студентов. В 2020г. в МФЮА открылось отделение Технопарка «Наукоград», а в 2021г. была создана программа по взаимодействию с работодателями на период до 2024г. Готовятся инновационные прикладные разработки, в частности, для обоснования индивидуальных образовательных траекторий студентов уже с 1 курса обучения в университете.</w:t>
      </w:r>
    </w:p>
    <w:p w14:paraId="3AF20883" w14:textId="77777777" w:rsidR="00EB0B1C" w:rsidRPr="00EB0B1C" w:rsidRDefault="00EB0B1C" w:rsidP="00EB0B1C"/>
    <w:sectPr w:rsidR="00EB0B1C" w:rsidRPr="00EB0B1C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DA4B" w14:textId="77777777" w:rsidR="0090352E" w:rsidRDefault="0090352E">
      <w:pPr>
        <w:spacing w:after="0" w:line="240" w:lineRule="auto"/>
      </w:pPr>
      <w:r>
        <w:separator/>
      </w:r>
    </w:p>
  </w:endnote>
  <w:endnote w:type="continuationSeparator" w:id="0">
    <w:p w14:paraId="73AF3A0E" w14:textId="77777777" w:rsidR="0090352E" w:rsidRDefault="0090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FE43" w14:textId="77777777" w:rsidR="0090352E" w:rsidRDefault="0090352E">
      <w:pPr>
        <w:spacing w:after="0" w:line="240" w:lineRule="auto"/>
      </w:pPr>
      <w:r>
        <w:separator/>
      </w:r>
    </w:p>
  </w:footnote>
  <w:footnote w:type="continuationSeparator" w:id="0">
    <w:p w14:paraId="31106530" w14:textId="77777777" w:rsidR="0090352E" w:rsidRDefault="0090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3B"/>
    <w:multiLevelType w:val="multilevel"/>
    <w:tmpl w:val="0000003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52E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69493</TotalTime>
  <Pages>7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938</cp:revision>
  <dcterms:created xsi:type="dcterms:W3CDTF">2024-06-20T08:51:00Z</dcterms:created>
  <dcterms:modified xsi:type="dcterms:W3CDTF">2024-09-01T09:30:00Z</dcterms:modified>
  <cp:category/>
</cp:coreProperties>
</file>