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9DDF937" w:rsidR="00AB2F2F" w:rsidRPr="001F484B" w:rsidRDefault="001F484B" w:rsidP="001F484B">
      <w:r>
        <w:rPr>
          <w:rFonts w:ascii="Verdana" w:hAnsi="Verdana"/>
          <w:b/>
          <w:bCs/>
          <w:color w:val="000000"/>
          <w:shd w:val="clear" w:color="auto" w:fill="FFFFFF"/>
        </w:rPr>
        <w:t>Семененко Світлана Богданівна. Патофізіологічні механізми порушень хроноритмічної організації функції нирок за умов блокади монооксиду нітрогену на тлі гіпо- та гіперфункції шишкоподібної залози.- Дисертація канд. мед. наук: 14.03.04, Буков. держ. мед. ун-т. - Чернівці, 2012.- 220 с.</w:t>
      </w:r>
    </w:p>
    <w:sectPr w:rsidR="00AB2F2F" w:rsidRPr="001F484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6D84" w14:textId="77777777" w:rsidR="00672E5E" w:rsidRDefault="00672E5E">
      <w:pPr>
        <w:spacing w:after="0" w:line="240" w:lineRule="auto"/>
      </w:pPr>
      <w:r>
        <w:separator/>
      </w:r>
    </w:p>
  </w:endnote>
  <w:endnote w:type="continuationSeparator" w:id="0">
    <w:p w14:paraId="1BA1D86C" w14:textId="77777777" w:rsidR="00672E5E" w:rsidRDefault="0067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A998" w14:textId="77777777" w:rsidR="00672E5E" w:rsidRDefault="00672E5E">
      <w:pPr>
        <w:spacing w:after="0" w:line="240" w:lineRule="auto"/>
      </w:pPr>
      <w:r>
        <w:separator/>
      </w:r>
    </w:p>
  </w:footnote>
  <w:footnote w:type="continuationSeparator" w:id="0">
    <w:p w14:paraId="70F8FE03" w14:textId="77777777" w:rsidR="00672E5E" w:rsidRDefault="0067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2E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2E5E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132095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6697</cp:revision>
  <dcterms:created xsi:type="dcterms:W3CDTF">2024-06-20T08:51:00Z</dcterms:created>
  <dcterms:modified xsi:type="dcterms:W3CDTF">2025-02-01T08:34:00Z</dcterms:modified>
  <cp:category/>
</cp:coreProperties>
</file>