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738C2F77" w:rsidR="00254859" w:rsidRPr="00CC59AB" w:rsidRDefault="00CC59AB" w:rsidP="00CC59AB">
      <w:r>
        <w:rPr>
          <w:rFonts w:ascii="Verdana" w:hAnsi="Verdana"/>
          <w:b/>
          <w:bCs/>
          <w:color w:val="000000"/>
          <w:shd w:val="clear" w:color="auto" w:fill="FFFFFF"/>
        </w:rPr>
        <w:t>Горбатюк Ірина Борисівна. Клінічні особливості перебігу хронічного холециститу та холестерозу жовчного міхура у хворих на ішемічну хворобу серця та ожиріння, обгрунтування диференційованого лікування.- Дисертація канд. мед. наук: 14.01.02, Держ. вищ. навч. закл. "Терноп. держ. мед. ун-т ім. І. Я. Горбачевського МОЗ України". - Т., 2013.- 190 с.</w:t>
      </w:r>
    </w:p>
    <w:sectPr w:rsidR="00254859" w:rsidRPr="00CC59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412A" w14:textId="77777777" w:rsidR="0066062D" w:rsidRDefault="0066062D">
      <w:pPr>
        <w:spacing w:after="0" w:line="240" w:lineRule="auto"/>
      </w:pPr>
      <w:r>
        <w:separator/>
      </w:r>
    </w:p>
  </w:endnote>
  <w:endnote w:type="continuationSeparator" w:id="0">
    <w:p w14:paraId="0FD5D1A1" w14:textId="77777777" w:rsidR="0066062D" w:rsidRDefault="0066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724A" w14:textId="77777777" w:rsidR="0066062D" w:rsidRDefault="0066062D">
      <w:pPr>
        <w:spacing w:after="0" w:line="240" w:lineRule="auto"/>
      </w:pPr>
      <w:r>
        <w:separator/>
      </w:r>
    </w:p>
  </w:footnote>
  <w:footnote w:type="continuationSeparator" w:id="0">
    <w:p w14:paraId="74FED522" w14:textId="77777777" w:rsidR="0066062D" w:rsidRDefault="0066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06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2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112970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2876</cp:revision>
  <dcterms:created xsi:type="dcterms:W3CDTF">2024-06-20T08:51:00Z</dcterms:created>
  <dcterms:modified xsi:type="dcterms:W3CDTF">2025-01-05T10:10:00Z</dcterms:modified>
  <cp:category/>
</cp:coreProperties>
</file>