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CF48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Евсеев, Леонид Александрович. Закономерности выгорания изотопа 10B в карбиде бора стержней аварийной защиты ядерных реакторов ВВЭР-1000 и БН-600 : диссертация ... кандидата физико-математических наук : 01.04.07 / Евсеев Леонид Александрович; [Место защиты: Ульян. гос. ун-т].- Ульяновск, 2012.- 130 с.: ил. РГБ ОД, 61 12-1/1262</w:t>
      </w:r>
    </w:p>
    <w:p w14:paraId="5F89ED9F" w14:textId="77777777" w:rsidR="00185919" w:rsidRPr="00185919" w:rsidRDefault="00185919" w:rsidP="00185919">
      <w:pPr>
        <w:rPr>
          <w:rStyle w:val="86"/>
          <w:color w:val="000000"/>
        </w:rPr>
      </w:pPr>
    </w:p>
    <w:p w14:paraId="496DDF40" w14:textId="77777777" w:rsidR="00185919" w:rsidRPr="00185919" w:rsidRDefault="00185919" w:rsidP="00185919">
      <w:pPr>
        <w:rPr>
          <w:rStyle w:val="86"/>
          <w:color w:val="000000"/>
        </w:rPr>
      </w:pPr>
    </w:p>
    <w:p w14:paraId="171A8912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Открытое Акционерное Общество “Государственный Научный Центр -</w:t>
      </w:r>
    </w:p>
    <w:p w14:paraId="700943D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Научно-исследовательский институт атомных реакторов”</w:t>
      </w:r>
    </w:p>
    <w:p w14:paraId="2E7B7F52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Федеральное государственное бюджетное образовательное учреждение</w:t>
      </w:r>
    </w:p>
    <w:p w14:paraId="52D030E6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высшего профессионального образования</w:t>
      </w:r>
    </w:p>
    <w:p w14:paraId="17F0C5AB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«Ульяновский государственный университет»</w:t>
      </w:r>
    </w:p>
    <w:p w14:paraId="0ADBE9FF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Евсеев Леонид Александрович</w:t>
      </w:r>
    </w:p>
    <w:p w14:paraId="31AC89F2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Закономерности выгорания изотопа 10В в карбиде бора</w:t>
      </w:r>
    </w:p>
    <w:p w14:paraId="4334C621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стержней аварийной защиты ядерных реакторов</w:t>
      </w:r>
    </w:p>
    <w:p w14:paraId="5AA1C93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ВВЭР-1000 и БН-600</w:t>
      </w:r>
    </w:p>
    <w:p w14:paraId="0BB0112E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Специальность 01.04.07 “Физика конденсированного состояния”</w:t>
      </w:r>
    </w:p>
    <w:p w14:paraId="7C8FC3E9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Диссертация на соискание ученой степени кандидата</w:t>
      </w:r>
    </w:p>
    <w:p w14:paraId="325BB64F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физико-математических наук</w:t>
      </w:r>
    </w:p>
    <w:p w14:paraId="036DC78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 xml:space="preserve">профессор В.Д. </w:t>
      </w:r>
      <w:proofErr w:type="spellStart"/>
      <w:r w:rsidRPr="00185919">
        <w:rPr>
          <w:rStyle w:val="86"/>
          <w:color w:val="000000"/>
        </w:rPr>
        <w:t>Рисованый</w:t>
      </w:r>
      <w:proofErr w:type="spellEnd"/>
    </w:p>
    <w:p w14:paraId="258B21F7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Ульяновск - 2012 </w:t>
      </w:r>
    </w:p>
    <w:p w14:paraId="65A2B78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ОГЛАВЛЕНИЕ</w:t>
      </w:r>
    </w:p>
    <w:p w14:paraId="2E66A13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ВВЕДЕНИЕ</w:t>
      </w:r>
      <w:r w:rsidRPr="00185919">
        <w:rPr>
          <w:rStyle w:val="86"/>
          <w:color w:val="000000"/>
        </w:rPr>
        <w:tab/>
      </w:r>
    </w:p>
    <w:p w14:paraId="32445EA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Глава 1. АНАЛИТИЧЕСКИЙ ОБЗОР (постановка задачи)</w:t>
      </w:r>
      <w:r w:rsidRPr="00185919">
        <w:rPr>
          <w:rStyle w:val="86"/>
          <w:color w:val="000000"/>
        </w:rPr>
        <w:tab/>
      </w:r>
    </w:p>
    <w:p w14:paraId="03F0F19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1.1.</w:t>
      </w:r>
      <w:r w:rsidRPr="00185919">
        <w:rPr>
          <w:rStyle w:val="86"/>
          <w:color w:val="000000"/>
        </w:rPr>
        <w:tab/>
        <w:t>Изменение элементно-изотопного состава поглощающих элементов</w:t>
      </w:r>
    </w:p>
    <w:p w14:paraId="4D6FC534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на основе карбида бора в ядерных реакторах</w:t>
      </w:r>
      <w:r w:rsidRPr="00185919">
        <w:rPr>
          <w:rStyle w:val="86"/>
          <w:color w:val="000000"/>
        </w:rPr>
        <w:tab/>
      </w:r>
    </w:p>
    <w:p w14:paraId="53ED35F4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1.2.</w:t>
      </w:r>
      <w:r w:rsidRPr="00185919">
        <w:rPr>
          <w:rStyle w:val="86"/>
          <w:color w:val="000000"/>
        </w:rPr>
        <w:tab/>
        <w:t>Методы исследования выгорания изотопа 10В в поглощающих</w:t>
      </w:r>
    </w:p>
    <w:p w14:paraId="4E3BB838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lastRenderedPageBreak/>
        <w:t>элементах на основе карбида бора</w:t>
      </w:r>
      <w:r w:rsidRPr="00185919">
        <w:rPr>
          <w:rStyle w:val="86"/>
          <w:color w:val="000000"/>
        </w:rPr>
        <w:tab/>
      </w:r>
    </w:p>
    <w:p w14:paraId="6417095E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1.3.</w:t>
      </w:r>
      <w:r w:rsidRPr="00185919">
        <w:rPr>
          <w:rStyle w:val="86"/>
          <w:color w:val="000000"/>
        </w:rPr>
        <w:tab/>
        <w:t>Аналитические возможности метода вторично-ионной масс- спектрометрии (ВИМС) при его использовании для исследования выгорания изотопа 10В в поглощающих материалах на основе карбида</w:t>
      </w:r>
    </w:p>
    <w:p w14:paraId="62CF50DC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бора</w:t>
      </w:r>
      <w:r w:rsidRPr="00185919">
        <w:rPr>
          <w:rStyle w:val="86"/>
          <w:color w:val="000000"/>
        </w:rPr>
        <w:tab/>
      </w:r>
    </w:p>
    <w:p w14:paraId="465DEF79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Глава 2. ХАРАКТЕРИСТИКИ ОБРАЗЦОВ И МЕТОДЫ ИХ ИССЛЕДОВАНИЯ</w:t>
      </w:r>
      <w:r w:rsidRPr="00185919">
        <w:rPr>
          <w:rStyle w:val="86"/>
          <w:color w:val="000000"/>
        </w:rPr>
        <w:tab/>
      </w:r>
    </w:p>
    <w:p w14:paraId="1CB8CFD9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2.1.</w:t>
      </w:r>
      <w:r w:rsidRPr="00185919">
        <w:rPr>
          <w:rStyle w:val="86"/>
          <w:color w:val="000000"/>
        </w:rPr>
        <w:tab/>
        <w:t>Характеристики исследуемых образцов</w:t>
      </w:r>
      <w:r w:rsidRPr="00185919">
        <w:rPr>
          <w:rStyle w:val="86"/>
          <w:color w:val="000000"/>
        </w:rPr>
        <w:tab/>
      </w:r>
    </w:p>
    <w:p w14:paraId="790A77F8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2.2.</w:t>
      </w:r>
      <w:r w:rsidRPr="00185919">
        <w:rPr>
          <w:rStyle w:val="86"/>
          <w:color w:val="000000"/>
        </w:rPr>
        <w:tab/>
        <w:t>Методы исследования</w:t>
      </w:r>
      <w:r w:rsidRPr="00185919">
        <w:rPr>
          <w:rStyle w:val="86"/>
          <w:color w:val="000000"/>
        </w:rPr>
        <w:tab/>
      </w:r>
    </w:p>
    <w:p w14:paraId="21A95184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Глава 3. ВЫГОРАНИЕ ИЗОТОПА 10В В КАРБИДЕ БОРА СТЕРЖНЕЙ АВАРИЙНОЙ ЗАЩИТЫ РЕАКТОРА ВВЭР-1000</w:t>
      </w:r>
      <w:r w:rsidRPr="00185919">
        <w:rPr>
          <w:rStyle w:val="86"/>
          <w:color w:val="000000"/>
        </w:rPr>
        <w:tab/>
      </w:r>
    </w:p>
    <w:p w14:paraId="77A9087F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3.1.</w:t>
      </w:r>
      <w:r w:rsidRPr="00185919">
        <w:rPr>
          <w:rStyle w:val="86"/>
          <w:color w:val="000000"/>
        </w:rPr>
        <w:tab/>
        <w:t>Одномерный анализ изотопного состава поглощающего сердечника</w:t>
      </w:r>
    </w:p>
    <w:p w14:paraId="2AB7DE48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после эксплуатации в течение 1804 эффективных суток</w:t>
      </w:r>
      <w:r w:rsidRPr="00185919">
        <w:rPr>
          <w:rStyle w:val="86"/>
          <w:color w:val="000000"/>
        </w:rPr>
        <w:tab/>
      </w:r>
    </w:p>
    <w:p w14:paraId="6AD74A98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3.2.</w:t>
      </w:r>
      <w:r w:rsidRPr="00185919">
        <w:rPr>
          <w:rStyle w:val="86"/>
          <w:color w:val="000000"/>
        </w:rPr>
        <w:tab/>
        <w:t>Двухмерный анализ изотопного состава поглощающего сердечника</w:t>
      </w:r>
    </w:p>
    <w:p w14:paraId="60558C46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после эксплуатации в течение 1804 эффективных суток</w:t>
      </w:r>
      <w:r w:rsidRPr="00185919">
        <w:rPr>
          <w:rStyle w:val="86"/>
          <w:color w:val="000000"/>
        </w:rPr>
        <w:tab/>
      </w:r>
    </w:p>
    <w:p w14:paraId="4CF3385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Глава 4. ВЫГОРАНИЕ ИЗОТОПА 10В В КАРБИДЕ БОРА СТЕРЖНЕЙ АВАРИЙНОЙ ЗАЩИТЫ РЕАКТОРА БН-600</w:t>
      </w:r>
      <w:r w:rsidRPr="00185919">
        <w:rPr>
          <w:rStyle w:val="86"/>
          <w:color w:val="000000"/>
        </w:rPr>
        <w:tab/>
      </w:r>
    </w:p>
    <w:p w14:paraId="29C626F2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4.1.</w:t>
      </w:r>
      <w:r w:rsidRPr="00185919">
        <w:rPr>
          <w:rStyle w:val="86"/>
          <w:color w:val="000000"/>
        </w:rPr>
        <w:tab/>
        <w:t>Исследования таблеток после эксплуатации в течение 320</w:t>
      </w:r>
    </w:p>
    <w:p w14:paraId="31D0DF9E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эффективных суток</w:t>
      </w:r>
      <w:r w:rsidRPr="00185919">
        <w:rPr>
          <w:rStyle w:val="86"/>
          <w:color w:val="000000"/>
        </w:rPr>
        <w:tab/>
      </w:r>
    </w:p>
    <w:p w14:paraId="351F71B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4.2.</w:t>
      </w:r>
      <w:r w:rsidRPr="00185919">
        <w:rPr>
          <w:rStyle w:val="86"/>
          <w:color w:val="000000"/>
        </w:rPr>
        <w:tab/>
        <w:t>Исследования таблеток после эксплуатации в течение 480</w:t>
      </w:r>
    </w:p>
    <w:p w14:paraId="125B2220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эффективных суток</w:t>
      </w:r>
      <w:r w:rsidRPr="00185919">
        <w:rPr>
          <w:rStyle w:val="86"/>
          <w:color w:val="000000"/>
        </w:rPr>
        <w:tab/>
      </w:r>
    </w:p>
    <w:p w14:paraId="4D38DD85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4.3.</w:t>
      </w:r>
      <w:r w:rsidRPr="00185919">
        <w:rPr>
          <w:rStyle w:val="86"/>
          <w:color w:val="000000"/>
        </w:rPr>
        <w:tab/>
        <w:t>Исследования таблеток после эксплуатации в течение 520</w:t>
      </w:r>
    </w:p>
    <w:p w14:paraId="1997247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эффективных суток</w:t>
      </w:r>
      <w:r w:rsidRPr="00185919">
        <w:rPr>
          <w:rStyle w:val="86"/>
          <w:color w:val="000000"/>
        </w:rPr>
        <w:tab/>
      </w:r>
    </w:p>
    <w:p w14:paraId="565F9BD6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4.4.</w:t>
      </w:r>
      <w:r w:rsidRPr="00185919">
        <w:rPr>
          <w:rStyle w:val="86"/>
          <w:color w:val="000000"/>
        </w:rPr>
        <w:tab/>
        <w:t>Расчетная модель выгорания изотопа 10В в различных секторах</w:t>
      </w:r>
    </w:p>
    <w:p w14:paraId="2CEA4513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таблеток из В4С</w:t>
      </w:r>
      <w:r w:rsidRPr="00185919">
        <w:rPr>
          <w:rStyle w:val="86"/>
          <w:color w:val="000000"/>
        </w:rPr>
        <w:tab/>
        <w:t xml:space="preserve"> </w:t>
      </w:r>
    </w:p>
    <w:p w14:paraId="3268A5B2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з</w:t>
      </w:r>
    </w:p>
    <w:p w14:paraId="73A9758D" w14:textId="77777777" w:rsidR="00185919" w:rsidRPr="00185919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t>Выводы</w:t>
      </w:r>
      <w:r w:rsidRPr="00185919">
        <w:rPr>
          <w:rStyle w:val="86"/>
          <w:color w:val="000000"/>
        </w:rPr>
        <w:tab/>
        <w:t xml:space="preserve"> 118</w:t>
      </w:r>
    </w:p>
    <w:p w14:paraId="0DE1DE58" w14:textId="3E35DD01" w:rsidR="003C1F72" w:rsidRDefault="00185919" w:rsidP="00185919">
      <w:pPr>
        <w:rPr>
          <w:rStyle w:val="86"/>
          <w:color w:val="000000"/>
        </w:rPr>
      </w:pPr>
      <w:r w:rsidRPr="00185919">
        <w:rPr>
          <w:rStyle w:val="86"/>
          <w:color w:val="000000"/>
        </w:rPr>
        <w:lastRenderedPageBreak/>
        <w:t>Список литературы</w:t>
      </w:r>
      <w:r w:rsidRPr="00185919">
        <w:rPr>
          <w:rStyle w:val="86"/>
          <w:color w:val="000000"/>
        </w:rPr>
        <w:tab/>
        <w:t xml:space="preserve"> 120</w:t>
      </w:r>
    </w:p>
    <w:p w14:paraId="336C33D9" w14:textId="0A61FFD5" w:rsidR="00185919" w:rsidRDefault="00185919" w:rsidP="00185919">
      <w:pPr>
        <w:rPr>
          <w:rStyle w:val="86"/>
          <w:color w:val="000000"/>
        </w:rPr>
      </w:pPr>
    </w:p>
    <w:p w14:paraId="6CA039FC" w14:textId="59DD6DCF" w:rsidR="00185919" w:rsidRDefault="00185919" w:rsidP="00185919">
      <w:pPr>
        <w:rPr>
          <w:rStyle w:val="86"/>
          <w:color w:val="000000"/>
        </w:rPr>
      </w:pPr>
    </w:p>
    <w:p w14:paraId="3B40DFA8" w14:textId="77777777" w:rsidR="00185919" w:rsidRDefault="00185919" w:rsidP="00185919">
      <w:pPr>
        <w:pStyle w:val="9210"/>
        <w:keepNext/>
        <w:keepLines/>
        <w:shd w:val="clear" w:color="auto" w:fill="auto"/>
        <w:spacing w:before="0" w:after="430" w:line="260" w:lineRule="exact"/>
        <w:ind w:right="20" w:firstLine="0"/>
        <w:jc w:val="center"/>
      </w:pPr>
      <w:bookmarkStart w:id="0" w:name="bookmark53"/>
      <w:r>
        <w:rPr>
          <w:color w:val="000000"/>
        </w:rPr>
        <w:t>ВЫВОДЫ</w:t>
      </w:r>
      <w:bookmarkEnd w:id="0"/>
    </w:p>
    <w:p w14:paraId="42D10A78" w14:textId="77777777" w:rsidR="00185919" w:rsidRDefault="00185919" w:rsidP="00185919">
      <w:pPr>
        <w:pStyle w:val="210"/>
        <w:numPr>
          <w:ilvl w:val="0"/>
          <w:numId w:val="11"/>
        </w:numPr>
        <w:shd w:val="clear" w:color="auto" w:fill="auto"/>
        <w:tabs>
          <w:tab w:val="left" w:pos="1274"/>
        </w:tabs>
        <w:spacing w:before="0" w:after="0" w:line="456" w:lineRule="exact"/>
        <w:ind w:left="280" w:right="260" w:firstLine="660"/>
        <w:jc w:val="both"/>
      </w:pPr>
      <w:r>
        <w:rPr>
          <w:rStyle w:val="21"/>
          <w:color w:val="000000"/>
        </w:rPr>
        <w:t xml:space="preserve">Разработана и внедрена исследовательская установка для проведения одномерного и двухмерного анализа облученных поглощающих элементов методом ВИМС с линейным разрешением 10 мкм на базе промышленного вторично-ионного масс-спектрометра МС7202М. Разработаны методики и способы одномерного и двухмерного анализа методом ВИМС и обосновано их применение при проведении </w:t>
      </w:r>
      <w:proofErr w:type="spellStart"/>
      <w:r>
        <w:rPr>
          <w:rStyle w:val="21"/>
          <w:color w:val="000000"/>
        </w:rPr>
        <w:t>послереакторных</w:t>
      </w:r>
      <w:proofErr w:type="spellEnd"/>
      <w:r>
        <w:rPr>
          <w:rStyle w:val="21"/>
          <w:color w:val="000000"/>
        </w:rPr>
        <w:t xml:space="preserve"> исследований выгорания изотопа </w:t>
      </w:r>
      <w:r>
        <w:rPr>
          <w:rStyle w:val="21"/>
          <w:color w:val="000000"/>
          <w:vertAlign w:val="superscript"/>
        </w:rPr>
        <w:t>10</w:t>
      </w:r>
      <w:r>
        <w:rPr>
          <w:rStyle w:val="21"/>
          <w:color w:val="000000"/>
        </w:rPr>
        <w:t>В в облученных поглощающих материалах на основе карбида бора с микронным разрешением.</w:t>
      </w:r>
    </w:p>
    <w:p w14:paraId="688B80A6" w14:textId="77777777" w:rsidR="00185919" w:rsidRDefault="00185919" w:rsidP="00185919">
      <w:pPr>
        <w:pStyle w:val="210"/>
        <w:shd w:val="clear" w:color="auto" w:fill="auto"/>
        <w:spacing w:after="0" w:line="456" w:lineRule="exact"/>
        <w:ind w:left="280" w:right="260" w:firstLine="660"/>
        <w:jc w:val="both"/>
      </w:pPr>
      <w:r>
        <w:rPr>
          <w:rStyle w:val="21"/>
          <w:color w:val="000000"/>
        </w:rPr>
        <w:t>Разработанные методики и способы верифицированы по результатам измерений другими методами, сравнением с литературными данными и по</w:t>
      </w:r>
      <w:r>
        <w:rPr>
          <w:rStyle w:val="21"/>
          <w:color w:val="000000"/>
        </w:rPr>
        <w:softHyphen/>
        <w:t>зволяют проводить исследования с разрешением равным диаметру ионного зонда в диапазоне 0,001—90% с относительной погрешностью не хуже 0,6%, и при сравнимых погрешностях измерений на металлографических шлифах (с фрактальной размерностью -</w:t>
      </w:r>
      <w:proofErr w:type="spellStart"/>
      <w:r>
        <w:rPr>
          <w:rStyle w:val="21"/>
          <w:color w:val="000000"/>
        </w:rPr>
        <w:t>Оупимс^Дб</w:t>
      </w:r>
      <w:proofErr w:type="spellEnd"/>
      <w:r>
        <w:rPr>
          <w:rStyle w:val="21"/>
          <w:color w:val="000000"/>
        </w:rPr>
        <w:t xml:space="preserve"> при относительной шероховатости -Я</w:t>
      </w:r>
      <w:r>
        <w:rPr>
          <w:rStyle w:val="21"/>
          <w:color w:val="000000"/>
          <w:vertAlign w:val="subscript"/>
        </w:rPr>
        <w:t>9</w:t>
      </w:r>
      <w:proofErr w:type="gramStart"/>
      <w:r>
        <w:rPr>
          <w:rStyle w:val="21"/>
          <w:color w:val="000000"/>
        </w:rPr>
        <w:t>вимсотн</w:t>
      </w:r>
      <w:r>
        <w:rPr>
          <w:rStyle w:val="21"/>
          <w:color w:val="000000"/>
          <w:vertAlign w:val="superscript"/>
        </w:rPr>
        <w:t>&lt;</w:t>
      </w:r>
      <w:proofErr w:type="gramEnd"/>
      <w:r>
        <w:rPr>
          <w:rStyle w:val="21"/>
          <w:color w:val="000000"/>
        </w:rPr>
        <w:t>50% для ВИМС-установок типа МС7202М).</w:t>
      </w:r>
    </w:p>
    <w:p w14:paraId="4AD33F17" w14:textId="77777777" w:rsidR="00185919" w:rsidRDefault="00185919" w:rsidP="00185919">
      <w:pPr>
        <w:pStyle w:val="210"/>
        <w:numPr>
          <w:ilvl w:val="0"/>
          <w:numId w:val="11"/>
        </w:numPr>
        <w:shd w:val="clear" w:color="auto" w:fill="auto"/>
        <w:tabs>
          <w:tab w:val="left" w:pos="1274"/>
        </w:tabs>
        <w:spacing w:before="0" w:after="0" w:line="456" w:lineRule="exact"/>
        <w:ind w:left="280" w:right="260" w:firstLine="660"/>
        <w:jc w:val="both"/>
      </w:pPr>
      <w:r>
        <w:rPr>
          <w:rStyle w:val="21"/>
          <w:color w:val="000000"/>
        </w:rPr>
        <w:t>Установлено, что после облучения поглощающих элементов с кар</w:t>
      </w:r>
      <w:r>
        <w:rPr>
          <w:rStyle w:val="21"/>
          <w:color w:val="000000"/>
        </w:rPr>
        <w:softHyphen/>
        <w:t xml:space="preserve">бидом бора с естественным соотношением изотопов </w:t>
      </w:r>
      <w:r>
        <w:rPr>
          <w:rStyle w:val="21"/>
          <w:color w:val="000000"/>
          <w:vertAlign w:val="superscript"/>
        </w:rPr>
        <w:t>10</w:t>
      </w:r>
      <w:r>
        <w:rPr>
          <w:rStyle w:val="21"/>
          <w:color w:val="000000"/>
        </w:rPr>
        <w:t xml:space="preserve">В и </w:t>
      </w:r>
      <w:r>
        <w:rPr>
          <w:rStyle w:val="21"/>
          <w:color w:val="000000"/>
          <w:vertAlign w:val="superscript"/>
        </w:rPr>
        <w:t>П</w:t>
      </w:r>
      <w:r>
        <w:rPr>
          <w:rStyle w:val="21"/>
          <w:color w:val="000000"/>
        </w:rPr>
        <w:t xml:space="preserve">В в реакторе ВВЭР-1000 в течение 1804 эффективных суток в режиме аварийной защиты, максимальное выгорание изотопа </w:t>
      </w:r>
      <w:r>
        <w:rPr>
          <w:rStyle w:val="21"/>
          <w:color w:val="000000"/>
          <w:vertAlign w:val="superscript"/>
        </w:rPr>
        <w:t>10</w:t>
      </w:r>
      <w:r>
        <w:rPr>
          <w:rStyle w:val="21"/>
          <w:color w:val="000000"/>
        </w:rPr>
        <w:t>В в поверхностном слое толщиной 0,1 мм составило 70% при среднем по сечению значении выгорания 25% и изменя</w:t>
      </w:r>
      <w:r>
        <w:rPr>
          <w:rStyle w:val="21"/>
          <w:color w:val="000000"/>
        </w:rPr>
        <w:softHyphen/>
        <w:t xml:space="preserve">ется по радиусу таблетки по формуле </w:t>
      </w:r>
      <w:r>
        <w:rPr>
          <w:rStyle w:val="28"/>
          <w:color w:val="000000"/>
          <w:vertAlign w:val="superscript"/>
        </w:rPr>
        <w:t>10</w:t>
      </w:r>
      <w:r>
        <w:rPr>
          <w:rStyle w:val="28"/>
          <w:color w:val="000000"/>
        </w:rPr>
        <w:t>В</w:t>
      </w:r>
      <w:r>
        <w:rPr>
          <w:rStyle w:val="28"/>
          <w:color w:val="000000"/>
          <w:vertAlign w:val="subscript"/>
        </w:rPr>
        <w:t>шгор</w:t>
      </w:r>
      <w:r>
        <w:rPr>
          <w:rStyle w:val="28"/>
          <w:color w:val="000000"/>
        </w:rPr>
        <w:t>(г) - 20,7г</w:t>
      </w:r>
      <w:r>
        <w:rPr>
          <w:rStyle w:val="28"/>
          <w:color w:val="000000"/>
          <w:vertAlign w:val="superscript"/>
        </w:rPr>
        <w:t>0</w:t>
      </w:r>
      <w:r>
        <w:rPr>
          <w:rStyle w:val="28"/>
          <w:color w:val="000000"/>
        </w:rPr>
        <w:t>’</w:t>
      </w:r>
      <w:r>
        <w:rPr>
          <w:rStyle w:val="28"/>
          <w:color w:val="000000"/>
          <w:vertAlign w:val="superscript"/>
        </w:rPr>
        <w:t>8</w:t>
      </w:r>
      <w:r>
        <w:rPr>
          <w:rStyle w:val="28"/>
          <w:color w:val="000000"/>
        </w:rPr>
        <w:t>,</w:t>
      </w:r>
      <w:r>
        <w:rPr>
          <w:rStyle w:val="21"/>
          <w:color w:val="000000"/>
        </w:rPr>
        <w:t xml:space="preserve"> где </w:t>
      </w:r>
      <w:r>
        <w:rPr>
          <w:rStyle w:val="28"/>
          <w:color w:val="000000"/>
        </w:rPr>
        <w:t>г -</w:t>
      </w:r>
      <w:r>
        <w:rPr>
          <w:rStyle w:val="21"/>
          <w:color w:val="000000"/>
        </w:rPr>
        <w:t xml:space="preserve"> расстояние от края сердечника, мм.</w:t>
      </w:r>
    </w:p>
    <w:p w14:paraId="25282694" w14:textId="77777777" w:rsidR="00185919" w:rsidRDefault="00185919" w:rsidP="00185919">
      <w:pPr>
        <w:pStyle w:val="210"/>
        <w:numPr>
          <w:ilvl w:val="0"/>
          <w:numId w:val="11"/>
        </w:numPr>
        <w:shd w:val="clear" w:color="auto" w:fill="auto"/>
        <w:tabs>
          <w:tab w:val="left" w:pos="1289"/>
        </w:tabs>
        <w:spacing w:before="0" w:after="0" w:line="456" w:lineRule="exact"/>
        <w:ind w:left="280" w:right="260" w:firstLine="660"/>
        <w:jc w:val="both"/>
      </w:pPr>
      <w:r>
        <w:rPr>
          <w:rStyle w:val="21"/>
          <w:color w:val="000000"/>
        </w:rPr>
        <w:lastRenderedPageBreak/>
        <w:t xml:space="preserve">После облучения поглощающих элементов с карбидом бора 80% обогащения по изотопу </w:t>
      </w:r>
      <w:r>
        <w:rPr>
          <w:rStyle w:val="21"/>
          <w:color w:val="000000"/>
          <w:vertAlign w:val="superscript"/>
        </w:rPr>
        <w:t>,0</w:t>
      </w:r>
      <w:r>
        <w:rPr>
          <w:rStyle w:val="21"/>
          <w:color w:val="000000"/>
        </w:rPr>
        <w:t>В в реакторе на быстрых нейтронах БН-600 в тече</w:t>
      </w:r>
      <w:r>
        <w:rPr>
          <w:rStyle w:val="21"/>
          <w:color w:val="000000"/>
        </w:rPr>
        <w:softHyphen/>
        <w:t>ние 320—520 эффективных суток в режиме аварийной защиты максимальное выгорание в поверхностном слое не превышает 20%, а среднее по сечению значение выгорания - 5%.</w:t>
      </w:r>
    </w:p>
    <w:p w14:paraId="105CD1B6" w14:textId="77777777" w:rsidR="00185919" w:rsidRDefault="00185919" w:rsidP="00185919">
      <w:pPr>
        <w:pStyle w:val="210"/>
        <w:numPr>
          <w:ilvl w:val="0"/>
          <w:numId w:val="11"/>
        </w:numPr>
        <w:shd w:val="clear" w:color="auto" w:fill="auto"/>
        <w:tabs>
          <w:tab w:val="left" w:pos="1279"/>
        </w:tabs>
        <w:spacing w:before="0" w:after="0" w:line="456" w:lineRule="exact"/>
        <w:ind w:left="280" w:right="260" w:firstLine="680"/>
        <w:jc w:val="both"/>
      </w:pPr>
      <w:r>
        <w:rPr>
          <w:rStyle w:val="21"/>
          <w:color w:val="000000"/>
        </w:rPr>
        <w:t>Установлено, что в потоке быстрых нейтронов (</w:t>
      </w:r>
      <w:proofErr w:type="spellStart"/>
      <w:r>
        <w:rPr>
          <w:rStyle w:val="21"/>
          <w:color w:val="000000"/>
        </w:rPr>
        <w:t>Е</w:t>
      </w:r>
      <w:r>
        <w:rPr>
          <w:rStyle w:val="21"/>
          <w:color w:val="000000"/>
          <w:vertAlign w:val="subscript"/>
        </w:rPr>
        <w:t>п</w:t>
      </w:r>
      <w:proofErr w:type="spellEnd"/>
      <w:r>
        <w:rPr>
          <w:rStyle w:val="21"/>
          <w:color w:val="000000"/>
        </w:rPr>
        <w:t>&gt;1 МэВ) в нижней части столба поглотителя выгорание снижается на расстоянии 0—1 мм и увеличивается на расстоянии 1—2 мм от края поглощающего сердечника, с последующим плавным снижением вплоть до его центра. На расстоянии 30— 50 мм от низа столба поглотителя выгорание плавно снижается на расстоя</w:t>
      </w:r>
      <w:r>
        <w:rPr>
          <w:rStyle w:val="21"/>
          <w:color w:val="000000"/>
        </w:rPr>
        <w:softHyphen/>
        <w:t>нии 0—4 мм от края поглощающего сердечника и не изменяется далее, вплоть до центра образца.</w:t>
      </w:r>
    </w:p>
    <w:p w14:paraId="53E5F3B4" w14:textId="77777777" w:rsidR="00185919" w:rsidRDefault="00185919" w:rsidP="00185919">
      <w:pPr>
        <w:pStyle w:val="210"/>
        <w:numPr>
          <w:ilvl w:val="0"/>
          <w:numId w:val="11"/>
        </w:numPr>
        <w:shd w:val="clear" w:color="auto" w:fill="auto"/>
        <w:tabs>
          <w:tab w:val="left" w:pos="1284"/>
        </w:tabs>
        <w:spacing w:before="0" w:after="0" w:line="456" w:lineRule="exact"/>
        <w:ind w:left="280" w:right="260" w:firstLine="680"/>
        <w:jc w:val="both"/>
        <w:sectPr w:rsidR="00185919">
          <w:pgSz w:w="11900" w:h="16840"/>
          <w:pgMar w:top="1474" w:right="853" w:bottom="2213" w:left="164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Скачкообразное изменение скорости захвата быстрых нейтронов изотопами </w:t>
      </w:r>
      <w:r>
        <w:rPr>
          <w:rStyle w:val="21"/>
          <w:color w:val="000000"/>
          <w:vertAlign w:val="superscript"/>
        </w:rPr>
        <w:t>10</w:t>
      </w:r>
      <w:r>
        <w:rPr>
          <w:rStyle w:val="21"/>
          <w:color w:val="000000"/>
        </w:rPr>
        <w:t>В по радиусу таблеток В</w:t>
      </w:r>
      <w:r>
        <w:rPr>
          <w:rStyle w:val="21"/>
          <w:color w:val="000000"/>
          <w:vertAlign w:val="subscript"/>
        </w:rPr>
        <w:t>4</w:t>
      </w:r>
      <w:r>
        <w:rPr>
          <w:rStyle w:val="21"/>
          <w:color w:val="000000"/>
        </w:rPr>
        <w:t>С в нижней части столба поглотителя, находящегося на периферии (сверху) активной зоны реактора, обусловлено микроскопическими изменениями нейтронного спектра в области погло</w:t>
      </w:r>
      <w:r>
        <w:rPr>
          <w:rStyle w:val="21"/>
          <w:color w:val="000000"/>
        </w:rPr>
        <w:softHyphen/>
        <w:t>щающих элементов, входящих в состав стержней АЗ, вызванными снижени</w:t>
      </w:r>
      <w:r>
        <w:rPr>
          <w:rStyle w:val="21"/>
          <w:color w:val="000000"/>
        </w:rPr>
        <w:softHyphen/>
        <w:t xml:space="preserve">ем энергии нейтронов со сдвигом их спектра в промежуточную и тепловую области при столкновении с лёгкими атомами </w:t>
      </w:r>
      <w:r>
        <w:rPr>
          <w:rStyle w:val="21"/>
          <w:color w:val="000000"/>
          <w:lang w:val="uk-UA" w:eastAsia="uk-UA"/>
        </w:rPr>
        <w:t xml:space="preserve">Ви </w:t>
      </w:r>
      <w:r>
        <w:rPr>
          <w:rStyle w:val="21"/>
          <w:color w:val="000000"/>
        </w:rPr>
        <w:t xml:space="preserve">Си нарабатываемыми атомами </w:t>
      </w:r>
      <w:r w:rsidRPr="00185919">
        <w:rPr>
          <w:rStyle w:val="21"/>
          <w:color w:val="000000"/>
          <w:vertAlign w:val="superscript"/>
          <w:lang w:eastAsia="en-US"/>
        </w:rPr>
        <w:t>7</w:t>
      </w:r>
      <w:r>
        <w:rPr>
          <w:rStyle w:val="21"/>
          <w:color w:val="000000"/>
          <w:lang w:val="en-US" w:eastAsia="en-US"/>
        </w:rPr>
        <w:t>Li</w:t>
      </w:r>
      <w:r w:rsidRPr="0018591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vertAlign w:val="superscript"/>
        </w:rPr>
        <w:t>4</w:t>
      </w:r>
      <w:r>
        <w:rPr>
          <w:rStyle w:val="21"/>
          <w:color w:val="000000"/>
        </w:rPr>
        <w:t xml:space="preserve">Не, 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Н, а также рассеянием нейтронов на конструкционных элементах стержней АЗ.</w:t>
      </w:r>
    </w:p>
    <w:p w14:paraId="1ECA8261" w14:textId="77777777" w:rsidR="00185919" w:rsidRPr="00185919" w:rsidRDefault="00185919" w:rsidP="00185919"/>
    <w:sectPr w:rsidR="00185919" w:rsidRPr="001859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ABF6" w14:textId="77777777" w:rsidR="00EB76C5" w:rsidRDefault="00EB76C5">
      <w:pPr>
        <w:spacing w:after="0" w:line="240" w:lineRule="auto"/>
      </w:pPr>
      <w:r>
        <w:separator/>
      </w:r>
    </w:p>
  </w:endnote>
  <w:endnote w:type="continuationSeparator" w:id="0">
    <w:p w14:paraId="5F595DBF" w14:textId="77777777" w:rsidR="00EB76C5" w:rsidRDefault="00EB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82CB" w14:textId="77777777" w:rsidR="00EB76C5" w:rsidRDefault="00EB76C5">
      <w:pPr>
        <w:spacing w:after="0" w:line="240" w:lineRule="auto"/>
      </w:pPr>
      <w:r>
        <w:separator/>
      </w:r>
    </w:p>
  </w:footnote>
  <w:footnote w:type="continuationSeparator" w:id="0">
    <w:p w14:paraId="4983ED9D" w14:textId="77777777" w:rsidR="00EB76C5" w:rsidRDefault="00EB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6C5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154743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9740</cp:revision>
  <dcterms:created xsi:type="dcterms:W3CDTF">2024-06-20T08:51:00Z</dcterms:created>
  <dcterms:modified xsi:type="dcterms:W3CDTF">2025-03-02T10:35:00Z</dcterms:modified>
  <cp:category/>
</cp:coreProperties>
</file>