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EF65"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Митрофанов, Константин Николаевич.</w:t>
      </w:r>
    </w:p>
    <w:p w14:paraId="2818C08C"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Экспериментальное исследование особенностей плазмообразования и токового сжатия плазмы лайнеров различных конструкций : диссертация ... доктора физико-математических наук : 01.04.08 / Митрофанов Константин Николаевич; [Место защиты: Физ. ин-т им. П.Н. Лебедева]. - Москва, 2019. - 414 с. : ил</w:t>
      </w:r>
    </w:p>
    <w:p w14:paraId="589F7FF1"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Оглавление диссертациидоктор наук Митрофанов Константин Николаевич</w:t>
      </w:r>
    </w:p>
    <w:p w14:paraId="79FC2C85"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ВВЕДЕНИЕ</w:t>
      </w:r>
    </w:p>
    <w:p w14:paraId="5A44E0B4"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ГЛАВА 1. Экспериментальные установки и диагностическая аппаратура</w:t>
      </w:r>
    </w:p>
    <w:p w14:paraId="1F6D32EF"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§1.1. Установка «Ангара-5-1» и ее диагностический комплекс</w:t>
      </w:r>
    </w:p>
    <w:p w14:paraId="3B47B0A0"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1.1.1. Лазерная диагностика (Nd:YAG-na3ep EKSPLA SL233 на ^=532 нм). Теневое зондирование плазмы</w:t>
      </w:r>
    </w:p>
    <w:p w14:paraId="484FADA3"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1.1.2. Многокадровая рентгеновская регистрация изображений плазмы (рентгеновские камеры СХР6 и РЭОП)</w:t>
      </w:r>
    </w:p>
    <w:p w14:paraId="33C512F1"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1.1.3. Интегральная камера-обскура</w:t>
      </w:r>
    </w:p>
    <w:p w14:paraId="2A748164"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1.1.4. Интегральный рентгеновский спектрограф скользящего падения (GIS) с пространственным разрешением</w:t>
      </w:r>
    </w:p>
    <w:p w14:paraId="5294AB00"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1.1.5. Детекторы рентгеновского излучения (ВРД, p-i-n диоды и калориметры)</w:t>
      </w:r>
    </w:p>
    <w:p w14:paraId="2C70F864"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1.1.6. Щелевая временная развертка изображения плазмы в оптическом диапазоне спектра (камера СФЭР-2)</w:t>
      </w:r>
    </w:p>
    <w:p w14:paraId="04F5E28F"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1.1.7. Датчики измерения тока и напряжения</w:t>
      </w:r>
    </w:p>
    <w:p w14:paraId="68012D56"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1.1.8. Магнитные зонды</w:t>
      </w:r>
    </w:p>
    <w:p w14:paraId="10352E96"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§1.2. Установка плазменный фокус «ПФ-3» и ее диагностический комплекс</w:t>
      </w:r>
    </w:p>
    <w:p w14:paraId="6348EB02"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1.2.1. Оптическая кадровая регистрация изображений плазмы (ЭОП камеры, ЭП-16)</w:t>
      </w:r>
    </w:p>
    <w:p w14:paraId="7F6CA69B"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1.2.2. Щелевая временная развертка изображения плазмы в оптическом диапазоне спектра (камеры К008 и СФР-2М)</w:t>
      </w:r>
    </w:p>
    <w:p w14:paraId="06408452"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1.2.3. Датчики измерения тока в цепи установки (пояс Роговского, петлевые датчики dlldt)</w:t>
      </w:r>
    </w:p>
    <w:p w14:paraId="7420E293"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1.2.4. Детекторы рентгеновского излучения (ВРД и p-i-n диоды). Система регистрации рентгеновского излучения в спектральном диапазоне до 1 кэВ из объема многопроволочной сборки</w:t>
      </w:r>
    </w:p>
    <w:p w14:paraId="2CA128B9"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1.2.5. Магнитный зонд для измерения Вф-поля в плазмофокусном разряде</w:t>
      </w:r>
    </w:p>
    <w:p w14:paraId="3DA41CD8"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1.2.6. Система позиционирования многопроволочной сборки в приосевой области плазмофокусного разряда</w:t>
      </w:r>
    </w:p>
    <w:p w14:paraId="5BF369ED"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§1.3. Установка плазменный фокус «PF-1000» и ее диагностический комплекс</w:t>
      </w:r>
    </w:p>
    <w:p w14:paraId="243392AC"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1.3.1. Лазерная диагностика (Nd:YLF лазер на ^=527 нм)</w:t>
      </w:r>
    </w:p>
    <w:p w14:paraId="698EA7B3"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1.3.2. Датчики измерения тока и напряжения</w:t>
      </w:r>
    </w:p>
    <w:p w14:paraId="20C4685A"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lastRenderedPageBreak/>
        <w:t>1.3.3. Магнитный зонд для измерения Вф-поля в приосевой области плазмофокусного разряда</w:t>
      </w:r>
    </w:p>
    <w:p w14:paraId="29E414DF"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§1.4. Некоторые факторы, ограничивающие применение магнитных зондов, и способы их устраняющие</w:t>
      </w:r>
    </w:p>
    <w:p w14:paraId="2E017020"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1.4.1. Длительность корректной регистрации магнитного поля в плазме. Зонды со структурированными оболочками</w:t>
      </w:r>
    </w:p>
    <w:p w14:paraId="08374F8C"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1.4.2. Экспериментальная проверка увеличения длительности корректной регистрации зондами магнитного поля</w:t>
      </w:r>
    </w:p>
    <w:p w14:paraId="4CF3721E"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1.4.3. Возмущение плазмы при обтекании оболочек зондов различной формы</w:t>
      </w:r>
    </w:p>
    <w:p w14:paraId="326DD4F2"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1.4.4. Выбор формы и материала оболочки зонда</w:t>
      </w:r>
    </w:p>
    <w:p w14:paraId="3A8F1EE8"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ГЛАВА 2. Определение интенсивности плазмообразования различных веществ</w:t>
      </w:r>
    </w:p>
    <w:p w14:paraId="1FA17FB4"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§2.1. Цилиндрические проволочные и металлизированные напылением различных веществ волоконные сборки</w:t>
      </w:r>
    </w:p>
    <w:p w14:paraId="11ACD291"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2.1.1. Плазмообразование в волоконных и смешанных по составу цилиндрических сборках</w:t>
      </w:r>
    </w:p>
    <w:p w14:paraId="2E16C4AA"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2.1.2. Плазмообразование в металлизированных волоконных сборках</w:t>
      </w:r>
    </w:p>
    <w:p w14:paraId="3A838C3E"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§2.2. Вольфрамовые сборки в условиях плазмофокусного разряда на установке ПФ-3</w:t>
      </w:r>
    </w:p>
    <w:p w14:paraId="63A8023C"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2.2.1. Исследование структуры и динамики токово-плазменной оболочки</w:t>
      </w:r>
    </w:p>
    <w:p w14:paraId="3F6A9E39"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2.2.2. Результаты экспериментов по сжатию проволочных сборок</w:t>
      </w:r>
    </w:p>
    <w:p w14:paraId="7844D628"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2.2.3. Исследование мягкого рентгеновского излучения при имплозии многопроволочных сборок в условиях плазмофокусного разряда</w:t>
      </w:r>
    </w:p>
    <w:p w14:paraId="03D8BA7D"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§2.3. Вольфрамовые конические сборки. Зависимость интенсивности плазмообразования от радиуса расположения источника плазмы</w:t>
      </w:r>
    </w:p>
    <w:p w14:paraId="2C770DED"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ГЛАВА 3. Динамика сжатия плазмы проволочных и волоконных сборок из различных веществ</w:t>
      </w:r>
    </w:p>
    <w:p w14:paraId="6E5DFFA2"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§3.1. Распределение магнитного поля внутри сборок</w:t>
      </w:r>
    </w:p>
    <w:p w14:paraId="2724CF15"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3.1.1. Влияние несинхронности срабатывания модулей установки Ангара-5-1 на проникновение магнитного поля внутрь проволочной сборки [Вф(ф)]</w:t>
      </w:r>
    </w:p>
    <w:p w14:paraId="4A291B64"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3.1.2. Радиальное распределение магнитного поля Вф(г). Плазменный предвестник</w:t>
      </w:r>
    </w:p>
    <w:p w14:paraId="260C9F1A"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3.1.3. Исследование временной зависимости УВФ(^). Скорость плазменных потоков из области плазмообразования проволочной сборки</w:t>
      </w:r>
    </w:p>
    <w:p w14:paraId="4D405EC5"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3.1.4. Аксиальное распределение магнитного поля Вф(г). Прорыв магнитного потока внутрь сборки на финальной стадии плазмообразования</w:t>
      </w:r>
    </w:p>
    <w:p w14:paraId="3980797E"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§3.2. Сравнение темпов развития неустойчивостей на внешней границе плазмы для</w:t>
      </w:r>
    </w:p>
    <w:p w14:paraId="10C1AD05"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проволочных и металлизированных волоконных сборок</w:t>
      </w:r>
    </w:p>
    <w:p w14:paraId="71174EE9"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§3.3. Отставшая плазма, отставший ток</w:t>
      </w:r>
    </w:p>
    <w:p w14:paraId="263B4665"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lastRenderedPageBreak/>
        <w:t>ГЛАВА 4. Имплозия двухкаскадных вложенных сборок</w:t>
      </w:r>
    </w:p>
    <w:p w14:paraId="4B084D02"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§4.1. Одномерная МГД модель стационарного сжатия плазмы вложенных сборок с учетом затянутого плазмообразования</w:t>
      </w:r>
    </w:p>
    <w:p w14:paraId="187F2809"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4.1.1. Предсказание режимов течения плазмы между каскадами</w:t>
      </w:r>
    </w:p>
    <w:p w14:paraId="612FA0BB"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4.1.2. Выбор конструкции двухкаскадных сборок для реализации различных режимов течения плазмы между каскадами</w:t>
      </w:r>
    </w:p>
    <w:p w14:paraId="7B36205D"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§4.2. Имплозия вложенных сборок смешанного состава</w:t>
      </w:r>
    </w:p>
    <w:p w14:paraId="66848858"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4.2.1. Экспериментальная реализация различных режимов течения плазмы между каскадами</w:t>
      </w:r>
    </w:p>
    <w:p w14:paraId="056F7BDA"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4.2.2. Взаимодействие плазменных струй внешнего каскада с магнитным полем и плазмой внутреннего каскада</w:t>
      </w:r>
    </w:p>
    <w:p w14:paraId="20EF128B"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4.2.3. Экспериментальная реализация режима устойчивого сжатия плазмы внутреннего каскада. Влияние отставшей плазмы на параметры импульса рентгеновского излучения</w:t>
      </w:r>
    </w:p>
    <w:p w14:paraId="0EA728C1"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4.2.4. Сравнение темпов развития неустойчивостей на внутреннем каскаде у вложенных сборок с различными параметрами</w:t>
      </w:r>
    </w:p>
    <w:p w14:paraId="3DD327D0"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4.2.5. Результаты двумерного РМГД моделирования сжатия плазмы двухкаскадных вложенных сборок</w:t>
      </w:r>
    </w:p>
    <w:p w14:paraId="68AB3D23"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§4.3. Возможный сценарий взаимодействия плазмы внешнего и внутреннего каскадов вложенных сборок (ударно-волновой механизм взаимодействия каскадов)</w:t>
      </w:r>
    </w:p>
    <w:p w14:paraId="0C555B1C"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ГЛАВА 5. Особенности имплозии двухкаскадных лайнеров для использования в различных схемах ИТС</w:t>
      </w:r>
    </w:p>
    <w:p w14:paraId="4194EA28"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§5.1. Имплозия пенно-проволочных конструкций</w:t>
      </w:r>
    </w:p>
    <w:p w14:paraId="08E7E816"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5.1.1. Исследование радиального распределения магнитного поля внутри пенно-проволочных конструкций</w:t>
      </w:r>
    </w:p>
    <w:p w14:paraId="43BF4884"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5.1.2. Подавление зиппер-эффекта. Параметры импульса рентгеновского излучения</w:t>
      </w:r>
    </w:p>
    <w:p w14:paraId="1C4DD675"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§5.2. Имплозия винтовых вложенных сборок со встречной закруткой каскадов ("basket arrays")</w:t>
      </w:r>
    </w:p>
    <w:p w14:paraId="71290C8F"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5.2.1. "Basket arrays" как метод генерации аксиального (Bz-) магнитного поля различной</w:t>
      </w:r>
    </w:p>
    <w:p w14:paraId="4ED3C3C8"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величины и направления</w:t>
      </w:r>
    </w:p>
    <w:p w14:paraId="2D0AB6FC"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5.2.2. Взаимодействие плазмы каскадов в присутствии В2-поля</w:t>
      </w:r>
    </w:p>
    <w:p w14:paraId="0F1AA789"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5.2.3. Зависимость параметров источника излучения от величины В2-поля в области пинча</w:t>
      </w:r>
    </w:p>
    <w:p w14:paraId="0C99D8E9"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§5.3. Имплозия квазисферической сборки в качестве внешнего каскада вложенных сборок</w:t>
      </w:r>
    </w:p>
    <w:p w14:paraId="05232795"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5.3.1. Некоторые примеры сжатия одиночных проволочных сборок различной формы (конические сборки, «китайский фонарик», квазисферическая сборка)</w:t>
      </w:r>
    </w:p>
    <w:p w14:paraId="30B236CD"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5.3.2. Перспективность осуществления трехмерного сжатия плазмы для повышения плотности потока мощности и энергии рентгеновского источника излучения</w:t>
      </w:r>
    </w:p>
    <w:p w14:paraId="3FED2EBD"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lastRenderedPageBreak/>
        <w:t>ЗАКЛЮЧЕНИЕ</w:t>
      </w:r>
    </w:p>
    <w:p w14:paraId="0926E174"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СПИСОК ЛИТЕРАТУРЫ</w:t>
      </w:r>
    </w:p>
    <w:p w14:paraId="33A3DBFC"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Приложение 1 Метод восстановления радиальной скорости сжатия плазмы</w:t>
      </w:r>
    </w:p>
    <w:p w14:paraId="303B18E8"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Приложение 2 Акты внедрения магнитозондовой диагностики на установках: Ангара-5-1, ПФ-3, РБ-1000 и КПФ-4-Феникс</w:t>
      </w:r>
    </w:p>
    <w:p w14:paraId="66374542" w14:textId="77777777" w:rsidR="00072684" w:rsidRPr="00072684" w:rsidRDefault="00072684" w:rsidP="00072684">
      <w:pPr>
        <w:rPr>
          <w:rFonts w:ascii="Helvetica" w:eastAsia="Symbol" w:hAnsi="Helvetica" w:cs="Helvetica"/>
          <w:b/>
          <w:bCs/>
          <w:color w:val="222222"/>
          <w:kern w:val="0"/>
          <w:sz w:val="21"/>
          <w:szCs w:val="21"/>
          <w:lang w:eastAsia="ru-RU"/>
        </w:rPr>
      </w:pPr>
      <w:r w:rsidRPr="00072684">
        <w:rPr>
          <w:rFonts w:ascii="Helvetica" w:eastAsia="Symbol" w:hAnsi="Helvetica" w:cs="Helvetica"/>
          <w:b/>
          <w:bCs/>
          <w:color w:val="222222"/>
          <w:kern w:val="0"/>
          <w:sz w:val="21"/>
          <w:szCs w:val="21"/>
          <w:lang w:eastAsia="ru-RU"/>
        </w:rPr>
        <w:t>ВВЕДЕНИЕ</w:t>
      </w:r>
    </w:p>
    <w:p w14:paraId="3869883D" w14:textId="5FB83710" w:rsidR="00F11235" w:rsidRPr="00072684" w:rsidRDefault="00F11235" w:rsidP="00072684"/>
    <w:sectPr w:rsidR="00F11235" w:rsidRPr="0007268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4DF9" w14:textId="77777777" w:rsidR="002858A0" w:rsidRDefault="002858A0">
      <w:pPr>
        <w:spacing w:after="0" w:line="240" w:lineRule="auto"/>
      </w:pPr>
      <w:r>
        <w:separator/>
      </w:r>
    </w:p>
  </w:endnote>
  <w:endnote w:type="continuationSeparator" w:id="0">
    <w:p w14:paraId="6C12BCA1" w14:textId="77777777" w:rsidR="002858A0" w:rsidRDefault="0028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7775" w14:textId="77777777" w:rsidR="002858A0" w:rsidRDefault="002858A0"/>
    <w:p w14:paraId="6CEBAD60" w14:textId="77777777" w:rsidR="002858A0" w:rsidRDefault="002858A0"/>
    <w:p w14:paraId="28672EF7" w14:textId="77777777" w:rsidR="002858A0" w:rsidRDefault="002858A0"/>
    <w:p w14:paraId="19819392" w14:textId="77777777" w:rsidR="002858A0" w:rsidRDefault="002858A0"/>
    <w:p w14:paraId="1B0719B7" w14:textId="77777777" w:rsidR="002858A0" w:rsidRDefault="002858A0"/>
    <w:p w14:paraId="7A723481" w14:textId="77777777" w:rsidR="002858A0" w:rsidRDefault="002858A0"/>
    <w:p w14:paraId="0A552D75" w14:textId="77777777" w:rsidR="002858A0" w:rsidRDefault="002858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534AA6" wp14:editId="276397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A7D17" w14:textId="77777777" w:rsidR="002858A0" w:rsidRDefault="002858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534A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3A7D17" w14:textId="77777777" w:rsidR="002858A0" w:rsidRDefault="002858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BD86E6" w14:textId="77777777" w:rsidR="002858A0" w:rsidRDefault="002858A0"/>
    <w:p w14:paraId="01ECCB2C" w14:textId="77777777" w:rsidR="002858A0" w:rsidRDefault="002858A0"/>
    <w:p w14:paraId="743B1180" w14:textId="77777777" w:rsidR="002858A0" w:rsidRDefault="002858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B21164" wp14:editId="7451FD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34CF4" w14:textId="77777777" w:rsidR="002858A0" w:rsidRDefault="002858A0"/>
                          <w:p w14:paraId="523C23DA" w14:textId="77777777" w:rsidR="002858A0" w:rsidRDefault="002858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B211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D34CF4" w14:textId="77777777" w:rsidR="002858A0" w:rsidRDefault="002858A0"/>
                    <w:p w14:paraId="523C23DA" w14:textId="77777777" w:rsidR="002858A0" w:rsidRDefault="002858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1B61E2" w14:textId="77777777" w:rsidR="002858A0" w:rsidRDefault="002858A0"/>
    <w:p w14:paraId="4A86E881" w14:textId="77777777" w:rsidR="002858A0" w:rsidRDefault="002858A0">
      <w:pPr>
        <w:rPr>
          <w:sz w:val="2"/>
          <w:szCs w:val="2"/>
        </w:rPr>
      </w:pPr>
    </w:p>
    <w:p w14:paraId="349268B1" w14:textId="77777777" w:rsidR="002858A0" w:rsidRDefault="002858A0"/>
    <w:p w14:paraId="6FC7213E" w14:textId="77777777" w:rsidR="002858A0" w:rsidRDefault="002858A0">
      <w:pPr>
        <w:spacing w:after="0" w:line="240" w:lineRule="auto"/>
      </w:pPr>
    </w:p>
  </w:footnote>
  <w:footnote w:type="continuationSeparator" w:id="0">
    <w:p w14:paraId="4363D44A" w14:textId="77777777" w:rsidR="002858A0" w:rsidRDefault="00285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8A0"/>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168807</TotalTime>
  <Pages>4</Pages>
  <Words>951</Words>
  <Characters>5423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5305</cp:revision>
  <cp:lastPrinted>2009-02-06T05:36:00Z</cp:lastPrinted>
  <dcterms:created xsi:type="dcterms:W3CDTF">2024-01-07T13:43:00Z</dcterms:created>
  <dcterms:modified xsi:type="dcterms:W3CDTF">2025-09-24T10:31:00Z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