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E9F06" w14:textId="726CD772" w:rsidR="00050BAD" w:rsidRDefault="002D1E56" w:rsidP="002D1E5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Реент Ярослав Юрьевич. Организация и правовое регулирование общественного контроля за обеспечением прав, свобод и законных интересов лиц, содержащихся в учреждениях уголовно-исполнительной системы</w:t>
      </w:r>
      <w:bookmarkEnd w:id="0"/>
      <w:r>
        <w:rPr>
          <w:rFonts w:ascii="Verdana" w:hAnsi="Verdana"/>
          <w:color w:val="000000"/>
          <w:sz w:val="18"/>
          <w:szCs w:val="18"/>
          <w:shd w:val="clear" w:color="auto" w:fill="FFFFFF"/>
        </w:rPr>
        <w:t>: диссертация ... кандидата юридических наук: 12.00.11 / Реент Ярослав Юрьевич;[Место защиты: Академия права и управления].- Рязань, 2014.- 226 с.</w:t>
      </w:r>
    </w:p>
    <w:p w14:paraId="2AB8B802" w14:textId="77777777" w:rsidR="002D1E56" w:rsidRPr="002D1E56" w:rsidRDefault="002D1E56" w:rsidP="002D1E5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D1E56">
        <w:rPr>
          <w:rFonts w:ascii="Verdana" w:eastAsia="Times New Roman" w:hAnsi="Verdana" w:cs="Times New Roman"/>
          <w:b/>
          <w:bCs/>
          <w:color w:val="AC370B"/>
          <w:kern w:val="0"/>
          <w:sz w:val="23"/>
          <w:szCs w:val="23"/>
          <w:lang w:eastAsia="ru-RU"/>
        </w:rPr>
        <w:t>Содержание к диссертации</w:t>
      </w:r>
    </w:p>
    <w:p w14:paraId="0B77E877"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Введение</w:t>
      </w:r>
    </w:p>
    <w:p w14:paraId="121DD880"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D1E56">
        <w:rPr>
          <w:rFonts w:ascii="Verdana" w:eastAsia="Times New Roman" w:hAnsi="Verdana" w:cs="Times New Roman"/>
          <w:b/>
          <w:bCs/>
          <w:color w:val="000000"/>
          <w:kern w:val="0"/>
          <w:sz w:val="18"/>
          <w:szCs w:val="18"/>
          <w:lang w:eastAsia="ru-RU"/>
        </w:rPr>
        <w:t>Глава 1. Общая характеристика форм взаимодействия государства и общества в области контроля за обеспечением прав, свобод и законных интересов лиц, содержащихся в учреждениях уголовно-исполнительной системы</w:t>
      </w:r>
    </w:p>
    <w:p w14:paraId="1E0773FA"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1.1. Понятие, сущность и функции общественного контроля заобеспечением прав, свобод и законных интересов лиц, содержащихся в учреждениях уголовно-исполнительной системы 16</w:t>
      </w:r>
    </w:p>
    <w:p w14:paraId="1EF9109E"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1.2. Историко-правовые аспекты формирования общественного контроля за обеспечением прав, свобод и законных интересов человека в отечественной пенитенциарной системе 48</w:t>
      </w:r>
    </w:p>
    <w:p w14:paraId="53FF4C39"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1.3. Международно-правовое регулирование и зарубежный опыт общественного контроля за обеспечением прав, свобод и законных интересов осужденных 74</w:t>
      </w:r>
    </w:p>
    <w:p w14:paraId="041C03D9"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D1E56">
        <w:rPr>
          <w:rFonts w:ascii="Verdana" w:eastAsia="Times New Roman" w:hAnsi="Verdana" w:cs="Times New Roman"/>
          <w:b/>
          <w:bCs/>
          <w:color w:val="000000"/>
          <w:kern w:val="0"/>
          <w:sz w:val="18"/>
          <w:szCs w:val="18"/>
          <w:lang w:eastAsia="ru-RU"/>
        </w:rPr>
        <w:t>Глава 2. Организационный и правовой аспекты деятельности общественных формирований, осуществляющих контроль за обеспечением прав, свобод и законных интересов лиц, содержащихся в учреждениях уголовно-исполнительной системы</w:t>
      </w:r>
    </w:p>
    <w:p w14:paraId="41CC46D7"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2.1. Правовое регулирование и содержание деятельности общественных палат, общественных советов при федеральном и территориальных органах ФСИН России 98</w:t>
      </w:r>
    </w:p>
    <w:p w14:paraId="54C689FC"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2.2. Общественные наблюдательные комиссии как основное звено общественного контроля за обеспечением прав, свобод и законных интересов лиц, содержащихся в учреждениях уголовно-исполнительной системы 124</w:t>
      </w:r>
    </w:p>
    <w:p w14:paraId="5FA86741"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2.3. Участие общественных объединений и средств массовой информации в контроле за обеспечением прав, свобод и законных интересов лиц, содержащихся в местах лишения свободы и следственных изоляторах 157</w:t>
      </w:r>
    </w:p>
    <w:p w14:paraId="5A8E193B"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Заключение 179</w:t>
      </w:r>
    </w:p>
    <w:p w14:paraId="186AC680" w14:textId="77777777" w:rsidR="002D1E56" w:rsidRPr="002D1E56" w:rsidRDefault="002D1E56" w:rsidP="002D1E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1E56">
        <w:rPr>
          <w:rFonts w:ascii="Verdana" w:eastAsia="Times New Roman" w:hAnsi="Verdana" w:cs="Times New Roman"/>
          <w:color w:val="000000"/>
          <w:kern w:val="0"/>
          <w:sz w:val="18"/>
          <w:szCs w:val="18"/>
          <w:lang w:eastAsia="ru-RU"/>
        </w:rPr>
        <w:t>Список используемой литературы</w:t>
      </w:r>
    </w:p>
    <w:p w14:paraId="54623C07" w14:textId="77777777" w:rsidR="002D1E56" w:rsidRDefault="002D1E56" w:rsidP="002D1E56">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Историко-правовые аспекты формирования общественного контроля за обеспечением прав, свобод и законных интересов человека в отечественной пенитенциарной системе</w:t>
      </w:r>
    </w:p>
    <w:p w14:paraId="57A5AA4A"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Интенсивный процесс реформирования российского общества и государства, модернизация государственного аппарата и становление институтов гражданского общества ставят множество новых задач перед наукой. Одной из насущных проблем научного сопровождения проводимых реформ является задача формирования единой уголовно-исполнительной политики, которая должна обеспечить повышение эффективности работы пенитенциарной службы до уровня европейских стандартов, сокращение рецидива преступлений, гуманизацию условий содержания заключенных и осужденных. Важное место в механизме реализации новейшей уголовно-исполнительной политики занимает обеспечение гласности в деятельности уголовно-исполнительной системы, ее </w:t>
      </w:r>
      <w:r>
        <w:rPr>
          <w:rFonts w:ascii="Verdana" w:hAnsi="Verdana"/>
          <w:color w:val="000000"/>
          <w:sz w:val="18"/>
          <w:szCs w:val="18"/>
        </w:rPr>
        <w:lastRenderedPageBreak/>
        <w:t>подконтрольности институтам гражданского общества, создание условий для участия общественности в решении стоящих перед уголовно-исполнительной системой задач. Это требует основательного научного анализа сущности и содержания контрольной деятельности общественных формирований.</w:t>
      </w:r>
    </w:p>
    <w:p w14:paraId="0982B93F"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Такой термин, как «контрольная деятельность» или «контроль», можно встретить довольно часто как в научной литературе, так и в повседневной жизни. Однако означает ли это, что все вопросы, связанные с контрольной деятельностью, достаточно раскрыты и не требуют дальнейшего исследования? Дело в том, что в науке управления и теории права контроль обычно рассматривается с позиции, где государство – субъект контроля, а общество – объект. Соответственно, внимание ученых уделяется в большей степени проблемам государственного контроля, а вопросы общественного контроля до недавнего времени оставались на втором плане. Таким образом, если проблематика государственного контроля в настоящее время разработана достаточно, то этого нельзя сказать о контроле общественном.</w:t>
      </w:r>
    </w:p>
    <w:p w14:paraId="770949A0"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качественного решения данной проблемы необходимо четко обозначить предмет, а также стратегию исследования. Для начала следует определить исходную методологическую позицию. Учитывая то, что общественный контроль за обеспечением прав лиц, содержащихся в учреждениях уголовно-исполнительной системы, является достаточно узкой категорией, будет оправданным построить научный процесс от общего к частному. В этих целях полагаем необходимым рассмотреть соотношение общего (контроль), особенного (общественный контроль) и частного (общественный контроль за обеспечением прав лиц, содержащихся в учреждениях УИС).</w:t>
      </w:r>
    </w:p>
    <w:p w14:paraId="3A5A719E"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в рамках данного параграфа требуется решить ряд основных задач: установить объем и значение терминов «контроль», «социальный контроль», «общественный контроль» и «общественный контроль за обеспечением прав лиц, содержащихся в учреждениях УИС».</w:t>
      </w:r>
    </w:p>
    <w:p w14:paraId="3AC582DB"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Большому словарю иностранных слов слово «контроль» происходит от французского слова «contrerle» – противо-список1. Большой толковый словарь русского языка Д.Н. Ушакова дает следующее определение слова «контроль»: наблюдение, надсмотр над чем-нибудь с целью проверки2. Очень похожее определение дает словарь русского языка С.И. Ожегова: проверка, а также наблюдение с целью проверки3.</w:t>
      </w:r>
    </w:p>
    <w:p w14:paraId="4639D7D6"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В двух указанных выше, а также в других рассмотренных словарях, слово «проверка» является ключевым при разъяснении термина «контроль». В этой</w:t>
      </w:r>
    </w:p>
    <w:p w14:paraId="341A0323"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современных юридических словарях не нашлось определения термина «проверка», а в юридическом словаре 1956 г. предлагается следующее толкование: «один из методов руководства в деятельности советского государственного аппарата и всех общественных организаций, обеспечивающий своевременное и правильное выполнение постановлений партии законности, помогать советами честным работникам, и правительства, решений, распоряжений и приказов вышестоящих органов». Согласно тому же источнику основная цель проверки «состоит, прежде </w:t>
      </w:r>
      <w:r>
        <w:rPr>
          <w:rFonts w:ascii="Verdana" w:hAnsi="Verdana"/>
          <w:color w:val="000000"/>
          <w:sz w:val="18"/>
          <w:szCs w:val="18"/>
        </w:rPr>
        <w:lastRenderedPageBreak/>
        <w:t>всего, в том, чтобы вскрывать недостатки, выявлять нарушения наказывать неисправимых и добиваться выполнения принятых решений»2.</w:t>
      </w:r>
    </w:p>
    <w:p w14:paraId="64F719BF"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приведенные определения, можно сделать вывод о том, что термин «контроль» используется в самых разнообразных сферах общественной жизни и указанные толкования дают лишь самое поверхностное представление о контроле как о явлении, не раскрывая его природы и функций. Для формирования целостного понимания контроля в интересующей нас сфере следует обратиться к толкованиям, выработанным в юридической науке и науке управления. Общепризнанной является точка зрения о выделении контроля в качестве самостоятельной функции управления, которая направлена на выявление и анализ фактического положения дел, сопоставление их с намеченными целями, оценку контролируемой деятельности и принятие мер по устранению вскрытых недостатков1.</w:t>
      </w:r>
    </w:p>
    <w:p w14:paraId="76A3B1E3"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Существуют определения, уточняющие указанную формулировку. Так, Г.А. Туманов полагает, что контроль не может заключаться лишь в наблюдении с целью констатации результатов, в той или иной мере он постоянно пополняется управляющим воздействием со стороны субъекта, осуществляющего контроль. На основании этого он делает вывод, что контроль – одна из форм «целенаправленного, целеустремленного воздействия на управляемые объекты»</w:t>
      </w:r>
    </w:p>
    <w:p w14:paraId="00EC5B30"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Не стоит также упускать из виду определение контроля с точки зрения кибернетики. В данном случае контроль определяется как главная форма обратной связи, с помощью которой управляющий субъект получает информацию о ходе выполнения поставленных задач, и при необходимости корректирует процесс их реализации. Обратная связь выступает базовым элементом каждой системы управления наравне с объектом и субъектом.</w:t>
      </w:r>
    </w:p>
    <w:p w14:paraId="0672EE86" w14:textId="77777777" w:rsidR="002D1E56" w:rsidRDefault="002D1E56" w:rsidP="002D1E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Международно-правовое регулирование и зарубежный опыт общественного контроля за обеспечением прав, свобод и законных интересов осужденных</w:t>
      </w:r>
    </w:p>
    <w:p w14:paraId="023532FF"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принятию декрета, уже к 1920 г. комиссии функционировали по всей территории страны. Со временем их полномочия были расширены. Комиссии привлекались к проведению таких мероприятий, как амнистии, массовые условно-досрочные освобождения женщин в честь международных женских дней 1923 и 1924 гг. Комиссии стимулировали заключенных за добросовестный труд путем зачета им рабочих дней, перевода лиц, отбывших две трети срока наказания, из мест лишения свободы на принудительны работы без содержания под стражей. В соответствии с Положением «Об общих местах заключения РСФСР», утвержденным Постановлением Народного комиссариата юстиции РСФСР от 15 ноября 1920 г., распределительные комиссии по представлению коллегий мест заключения приобрели право сокращать сроки пребывания отдельных осужденных в разряде испытуемых, предоставлять свидания, разрешать краткосрочные отпуска, а также продлевать сроки лишения свободы или применения дисциплинарных мер к осужденным, вовремя не вернувшимся из отпуска без уважительных причин2.</w:t>
      </w:r>
    </w:p>
    <w:p w14:paraId="4DF214F8"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Декретом СНК РСФСР от 21 марта 1921 г. «О лишении свободы и о порядке условно-досрочного освобождения заключенных» комиссиям были переданы новые полномочия. Теперь они </w:t>
      </w:r>
      <w:r>
        <w:rPr>
          <w:rFonts w:ascii="Verdana" w:hAnsi="Verdana"/>
          <w:color w:val="000000"/>
          <w:sz w:val="18"/>
          <w:szCs w:val="18"/>
        </w:rPr>
        <w:lastRenderedPageBreak/>
        <w:t>получили исключительное право на представление исправившихся заключенных к досрочному освобождению по отбытии менее половины определенного судом срока наказания. При рассмотрении таких дел в судах предусматривалось обязательное участие в качестве экспертов представителей распределительных комиссий, заключения комиссий по во-1 просам об отказе или о предоставлении досрочного освобождения становились обязательными для судов</w:t>
      </w:r>
    </w:p>
    <w:p w14:paraId="5B1B4EBB"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Внушительный объем переданных полномочий привел к тому, что распределительные комиссии стали подменять собой тюремную администрацию и чрезмерно влиять на деятельность судов. Лишь с укреплением государственного строя и стабилизацией деятельности судебных и следственных органов распределительные комиссии утрачивают эти функции, концентрируя внимание на разрешении режимных вопросов в пенитенциарных учреждениях. Сокращение объема полномочий комиссий было связано с принятием новых уголовного и уголовно-процессуального кодексов РСФСР 1922 г.2 Вследствие этого комиссии утратили право заменять лишение свободы принудительными работами по отбытии осужденным двух третей наказания, представлять заключенных к досрочному освобождению при отбытии ими половины срока наказания. Постановления комиссий о невозможности досрочного освобождения заключенных теперь имели лишь рекомендательный характер для судов.</w:t>
      </w:r>
    </w:p>
    <w:p w14:paraId="41A832C7"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На VI Всероссийском съезде работников юстиции в 1928 г. были обсуждены основные проблемы, связанные с работой распределительных комиссий. Делегаты съезда полагали, что распределительные комиссии выполнили поставленные перед ними задачи, и необходимость в них просто отпала. В связи с этим было принято решение об их ликвидации и передаче их функций наблюдательным комиссиям. Такой исход деятельности распределительных комиссий был вполне предсказуем: выполнив свои задачи, они уже не вписывались в новую идеологическую модель. Постановлением ВЦИК и СНК РСФСР от 30 октября 1929 г. «Об упразднении распределительных комиссий при инспекциях мест заключения...» осуществлялось радикальное преобразование работы наблюдательных комиссий, к которым частично перешли функции распределительных комиссий</w:t>
      </w:r>
    </w:p>
    <w:p w14:paraId="6CB0C3C6"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До 1961 г. в исправительных учреждениях еще функционировали распределительные комиссии, но это были уже совсем другие формирования. Состояли такие комиссии только из представителей администрации, и их единственной функцией было определение режима содержания для каждого осужденного. Впоследствии эта функция перешла к судам, и комиссии окончательно прекратили свое существование.</w:t>
      </w:r>
    </w:p>
    <w:p w14:paraId="545367B5"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Первое упоминание о наблюдательных комиссиях можно увидеть в Положении об общих местах заключения РСФСР 1920 г., Уголовном кодексе РСФСР 1922 г., но реально наблюдательные комиссии стали создаваться после принятия Исправительно-трудового кодекса (ИТК) РСФСР 1924 г., в котором было предусмотрено одновременное существование распределительных и наблюдательных комиссий, разграничивались их задачи и компетенция. В соответствии с положениями гл. III ИТК РСФСР 1924 г. в компетенцию наблюдательных комиссий входило: наблюдение за распределением и перераспределение заключенных; наблюдение за переводом заключенных из одних разрядов в другие и отмена такого перевода; предварительное обсуждение вопроса о возможности досрочного освобождениями осужденных и др.2</w:t>
      </w:r>
    </w:p>
    <w:p w14:paraId="1EBE706F"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состав комиссии входили начальник исправительного учреждения, народный судья района, в котором находилось данное место заключения, и представитель бюро профессиональных союзов. Эти должностные лица исполняли полномочия по наблюдению за исполнением наказания на обще ственных началах, поэтому наблюдательные комиссии можно отнести к числу субъектов общественного контроля. Комиссиями осуществлялось наблюдение за исполнением колониями приговоров, решались вопросы об условно-досрочном освобождении и зачете рабочих дней, неправильном зачислении в ту или иную категорию, неправильном переводе, наложении дисциплинарных взысканий, об отказе в свиданиях и передачах, грубом обращении с заключенными и т. д. Под наблюдением одной такой комиссии должно было находиться не более 200 осужденных.</w:t>
      </w:r>
    </w:p>
    <w:p w14:paraId="0AEC1876"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Со временем участие представителей общественности в работе комиссий было расширено. Теперь в их состав стали входить не менее трех представителей общественных организаций (профессиональных союзов, административно-правовых секций исполнительных комитетов советов, женских делегатских собраний, Ленинского коммунистического союза молодежи, народных заседателей, общественных обвинителей и пр.).</w:t>
      </w:r>
    </w:p>
    <w:p w14:paraId="1E731AF2" w14:textId="77777777" w:rsidR="002D1E56" w:rsidRDefault="002D1E56" w:rsidP="002D1E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Общественные наблюдательные комиссии как основное звено общественного контроля за обеспечением прав, свобод и законных интересов лиц, содержащихся в учреждениях уголовно-исполнительной системы</w:t>
      </w:r>
    </w:p>
    <w:p w14:paraId="40DD729B"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перед человечеством стоят различные глобальные проблемы, к которым можно отнести опасность применения ядерного оружия, мировой терроризм, экологические катастрофы и многие другие. В череде этих проблем не на последнем месте находится обеспечение прав, свобод и законных интересов человека. Для решения стоящих перед мировым сообществом задач создаются механизмы, обеспечивающие согласованную совместную деятельность всех государств в рамках межправительственных организаций. Особую роль в решении проблем обеспечения правового статуса личности играет международное право как особая система права, нормы которой действуют во взаимосвязи с национальными правовыми системами.</w:t>
      </w:r>
    </w:p>
    <w:p w14:paraId="0A828319"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сути международное право представляет собой систему международных договорных и обычных норм, создаваемых государствами и другими субъектами международного права, направленных на поддержание международного мира и укрепление международной безопасности, установление и развитие всестороннего международного сотрудничества, которые обеспечиваются добросовестным выполнением субъектами международного права своих международных обязательств, а в некоторых случаях и принуждением, осуществляемым государствами в индивидуальном или коллективном порядке.</w:t>
      </w:r>
    </w:p>
    <w:p w14:paraId="4BEC00F1"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Первым международным документом, определяющим и закрепляющим фундаментальные права каждого индивида, стала Всеобщая декларация прав человека, принятая на третьей сессии Генеральной Ассамблеи ООН 10 декабря 1948 г. Как известно, сама по себе Всеобщая декларация прав человека имеет статус рекомендации, но на основании Декларации были разработаны и приняты конкретные международные правовые документы: пакты о гражданских и политических, об экономических, социальных и культурных правах. Пакты имеют обязательный характер для </w:t>
      </w:r>
      <w:r>
        <w:rPr>
          <w:rFonts w:ascii="Verdana" w:hAnsi="Verdana"/>
          <w:color w:val="000000"/>
          <w:sz w:val="18"/>
          <w:szCs w:val="18"/>
        </w:rPr>
        <w:lastRenderedPageBreak/>
        <w:t>стран, которые их подписали, а значит, и для России, как правопреемника Советского Союза, ратифицировавшего их в 1973 г. Статья 2 Пакта о гражданских и политических правах устанавливает, что государства-участники должны уважать и обеспечивать права всех лиц, находящихся в пределах их территории. Если в национальное законодательство до сих пор не введены права и свободы, содержащиеся в пакте, то государство-участник обязано в соответствии со своей конституционной процедурой принять законодательные акты или иные меры для осуществления прав и свобод, признаваемых в пакте.</w:t>
      </w:r>
    </w:p>
    <w:p w14:paraId="37ECF37F"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Обеспечению прав лиц, содержащихся в пенитенциарных учреждениях, всегда уделялось особое внимание на международной арене. Необходимость международного сотрудничества и международно-правового регулирования в сфере обеспечения прав осужденных имеет историческую обусловленность. Сначала перед мировым сообществом встала задача консолидации усилий всех стран в борьбе с преступностью, а затем на обсуждение стали выноситься связанные с ней проблемы исполнения уголовных наказаний, которые рассматривались на международных тюремных конгрессах. В истории выделяются тюремные конгрессы первой и второй серии. Первые конгрессы проводились по инициативе частных лиц и участвовали в них в основном представители научного сообщества, а не государственные деятели. Как указывал И.Я. Фойницкий, конгрессы первой серии имели «частный уклад организации, благотворительно-либеральные тенденции, отвлеченность рассуждений и предвзятую защиту одиночного заключения»1.</w:t>
      </w:r>
    </w:p>
    <w:p w14:paraId="18460FBA"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Последний тюремный конгресс был проведен в 1950 г., после чего им на смену пришли Конгрессы ООН по предупреждению преступности и обращению с правонарушителями. Теперь проблемы, относящиеся к пенитенциарной сфере, стали рассматриваться в неразрывной связи с проблемами противодействия преступности. Сотрудничество в рамках ООН по совершенствованию национальных пенитенциарных систем имеет большое превентивное значение, так как решение пенитенциарных проблем способствует достижению целей уголовного наказания, снижая рост рецидива преступлений2. Конгрессы ООН созываются раз в пять лет с 1955 года, и СССР, а в последующем и Российская Федерация участвуют в их работе, начиная со II Конгресса.</w:t>
      </w:r>
    </w:p>
    <w:p w14:paraId="52D61C13"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значение для обеспечения правового статуса осужденных имели I и V конгрессы. На I Конгрессе ООН по предупреждению преступности и обращению с преступниками, состоявшемся в Женеве в 1955 г., были приняты Минимальные стандартные правила обращения с заключенными3, которые стали критерием оценки деятельности мест заключения для государств-участников.</w:t>
      </w:r>
    </w:p>
    <w:p w14:paraId="7AFFE602"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Этот документ заложил основу обеспечения прав человека при осуществлении государством своих правоохранительных функций. Идеи Декларации прошли долгий путь развития и завершились принятием Генеральной Ассамблеей ООН 10 декабря 1984 г. одноименной Конвенции1. В ней предусмотрены как уголовно-правовые, так и процедурно-процессуальные механизмы борьбы с этим видом преступлений путем имплементации норм Конвенции в национальное законодательство2.</w:t>
      </w:r>
    </w:p>
    <w:p w14:paraId="4627C427"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Что же касается международно-правового закрепления основ общественного контроля за обеспечением прав лиц, содержащихся в пенитенциарных учреждениях, то такие нормы появились </w:t>
      </w:r>
      <w:r>
        <w:rPr>
          <w:rFonts w:ascii="Verdana" w:hAnsi="Verdana"/>
          <w:color w:val="000000"/>
          <w:sz w:val="18"/>
          <w:szCs w:val="18"/>
        </w:rPr>
        <w:lastRenderedPageBreak/>
        <w:t>значительно позже, в 2002 г. с принятием Факультативного протокола к Конвенции против пыток и других жестоких, бесчеловечных или унижающих достоинство видов обращения и наказания3. Основополагающая идея указанного документа заключается в создании системы регулярных посещений, осуществляемых независимыми международными и национальными органами, мест, где находятся лишенные свободы лица, с целью предупреждения пыток.</w:t>
      </w:r>
    </w:p>
    <w:p w14:paraId="7E9CD585"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Во исполнение указанного Протокола был создан Подкомитет по предупреждению пыток и других жестоких, бесчеловечных или унижающих достоинство видов обращения и наказания Комитета против пыток, а каждое государство-участник обязалось создать на национальном уровне один или несколько органов для посещений в целях предупреждения пыток (далее именуемых национальными превентивными механизмами).</w:t>
      </w:r>
    </w:p>
    <w:p w14:paraId="61B848D9" w14:textId="77777777" w:rsidR="002D1E56" w:rsidRDefault="002D1E56" w:rsidP="002D1E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Участие общественных объединений и средств массовой информации в контроле за обеспечением прав, свобод и законных интересов лиц, содержащихся в местах лишения свободы и следственных изоляторах</w:t>
      </w:r>
    </w:p>
    <w:p w14:paraId="75CF9EA5"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Действующая Конституция провозгласила Российскую Федерацию правовым демократическим государством. В соответствии с основным законом граждане обладают правом участия в управлении делами государства. Данное положение относится к основным политическим правам, которые воплощают саму идею народовластия. По своей юридической природе оно относится к непосредственно действующим субъективным публичным правам. Выражением политической свободы гражданина является право на участие в управлении делами государства. Оно характеризует не только субъективные правопритяза-ния, направленные на обеспечение возможности индивидуального влияния на положение дел в стране, но и потребность общества в стабильной и эффективной системе организации публичной власти.</w:t>
      </w:r>
    </w:p>
    <w:p w14:paraId="39061CC6"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механизмов участия общественности в управлении делами государства в сфере исполнительной власти позволяет выделить два отдельных направления: первое – опосредованное участие; второе – непосредственное участие. Под опосредованным участием граждан в управлении делами государства в сфере исполнительной власти следует понимать избрание Президента Российской Федерации, который, будучи главой государства, формирует Правительство Российской Федерации, а также участие в выборах высших должностных лиц субъектов Российской Федерации. Непосредственными формами участия граждан в управлении делами государства в сфере исполнительной власти являются: индивидуальные или коллективные обращения; проведение публичных мероприятий (собраний, митингов и демонстраций, шествий, пикетирований); поступление на государственную службу. Особого внимания заслуживает такая форма участия граждан в деятельности органов исполнительной власти как работа экспертных и общественных органов, создаваемых на всех уровнях власти.</w:t>
      </w:r>
    </w:p>
    <w:p w14:paraId="3A8AA315"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М.А. Липчанской, развитие форм непосредственного участия граждан в деятельности государства и повсеместное распространение такого участия свидетельствует о становлении в стране партиципаторной демократии1. Партиципаторная демократия иди демократия участия (англ. participate участвовать) – исходит из трактовки демократии, как универсального </w:t>
      </w:r>
      <w:r>
        <w:rPr>
          <w:rFonts w:ascii="Verdana" w:hAnsi="Verdana"/>
          <w:color w:val="000000"/>
          <w:sz w:val="18"/>
          <w:szCs w:val="18"/>
        </w:rPr>
        <w:lastRenderedPageBreak/>
        <w:t>принципа организации всех областей общественной жизни, т.е. признает необходимость участия широких слоев населения непосредственно в политическом процессе подготовке, принятии и осуществлении решений, а также контроле за их выполнением2. Необходимость политической активности большинства граждан в партиципаторной модели объясняется тем, что снижение уровня их участия в итоге придет к «тирании меньшинства» (элиты). Противостоять авторитарному давлению сверху способна лишь сильная власть снизу. В этом случае благо народа может быть достигнуто только при обеспечении всеобщего равенства, которое заключается в том, что все граждане обязательно ежедневно занимаются принятием решений, а не только имеют равные возможности участия.</w:t>
      </w:r>
    </w:p>
    <w:p w14:paraId="739F3D95"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подробно хотелось бы рассмотреть такую форму участия граждан в управлении делами государства, как деятельность общественных палат. Как указано в Законе, Общественная палата призвана обеспечить согласование общественно значимых интересов граждан Российской Федерации, общественных</w:t>
      </w:r>
    </w:p>
    <w:p w14:paraId="3F0A7EFB"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100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 в Российской Федерации путем:</w:t>
      </w:r>
    </w:p>
    <w:p w14:paraId="10B634C9"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1) привлечения граждан, общественных объединений и иных некоммерческих организаций;</w:t>
      </w:r>
    </w:p>
    <w:p w14:paraId="3913AF14"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2) выдвижения и поддержки гражданских инициатив, имеющих общероссийское значение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w:t>
      </w:r>
    </w:p>
    <w:p w14:paraId="4330649D"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3) проведения общественной экспертизы (экспертизы) проектов феде ральных законов и проектов законов субъектов Российской Федерации, а также проектов нормативных правовых актов органов исполнительной власти Рос сийской Федерации и проектов правовых актов органов местного самоуправле ния; 4) осуществления в соответствии с настоящим Федеральным законом общественного контроля (контроля) за деятельностью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соблюдением свободы слова в средствах массовой информации;</w:t>
      </w:r>
    </w:p>
    <w:p w14:paraId="3290A66A"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5) выработки рекомендаций органам государственной власти Российской Федерации при определении приоритетов в области государственной поддержки общественных объединений, иных некоммерческих организаций и иных объединений граждан Российской Федерации, деятельность которых направлена на развитие гражданского общества в Российской Федерации;</w:t>
      </w:r>
    </w:p>
    <w:p w14:paraId="724D0001"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6) оказания информационной, методической и иной поддержки общественным палатам, созданным в субъектах Российской Федерации, обще ственным объединениям и иным </w:t>
      </w:r>
      <w:r>
        <w:rPr>
          <w:rFonts w:ascii="Verdana" w:hAnsi="Verdana"/>
          <w:color w:val="000000"/>
          <w:sz w:val="18"/>
          <w:szCs w:val="18"/>
        </w:rPr>
        <w:lastRenderedPageBreak/>
        <w:t>некоммерческим организациям, деятельность которых направлена на развитие гражданского общества в Российской Федерации;</w:t>
      </w:r>
    </w:p>
    <w:p w14:paraId="0F061BDB"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7) 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w:t>
      </w:r>
    </w:p>
    <w:p w14:paraId="78674CD7"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8) осуществления международного сотрудничества в соответствии с целями и задачами, определенными настоящей статьей, и участия в работе международных организаций, а также в работе международных конференций, совещаний и других мероприятиях1.</w:t>
      </w:r>
    </w:p>
    <w:p w14:paraId="2DFBBB5C" w14:textId="77777777" w:rsidR="002D1E56" w:rsidRDefault="002D1E56" w:rsidP="002D1E56">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функции выполняет Общественная палата Российской Федерации, а региональные общественные палаты выполняют аналогичные функции в отношении региональных органов государственной власти и местного самоуправления. В своем современном виде общественные палаты стали создаваться в России с 2005 г., однако в отечественной истории уже был опыт создания такого рода субъекта общественного контроля. Так, в 1994 г., на базе Общественной палаты Конституционного совещания была образована Общественная палата при Президенте России, которая должна была выполнять функции совещательного органа, осуществляющего политические консультации по различным общественно-важным вопросам с целью обеспечения взаимодействия органов исполнительной власти с институтами гражданского общества</w:t>
      </w:r>
    </w:p>
    <w:p w14:paraId="54922C0B" w14:textId="77777777" w:rsidR="002D1E56" w:rsidRPr="002D1E56" w:rsidRDefault="002D1E56" w:rsidP="002D1E56"/>
    <w:sectPr w:rsidR="002D1E56" w:rsidRPr="002D1E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C6A42" w14:textId="77777777" w:rsidR="00C37764" w:rsidRDefault="00C37764">
      <w:pPr>
        <w:spacing w:after="0" w:line="240" w:lineRule="auto"/>
      </w:pPr>
      <w:r>
        <w:separator/>
      </w:r>
    </w:p>
  </w:endnote>
  <w:endnote w:type="continuationSeparator" w:id="0">
    <w:p w14:paraId="67DF5660" w14:textId="77777777" w:rsidR="00C37764" w:rsidRDefault="00C3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3CB52" w14:textId="77777777" w:rsidR="00C37764" w:rsidRDefault="00C37764">
      <w:pPr>
        <w:spacing w:after="0" w:line="240" w:lineRule="auto"/>
      </w:pPr>
      <w:r>
        <w:separator/>
      </w:r>
    </w:p>
  </w:footnote>
  <w:footnote w:type="continuationSeparator" w:id="0">
    <w:p w14:paraId="7879B92A" w14:textId="77777777" w:rsidR="00C37764" w:rsidRDefault="00C37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000192"/>
    <w:multiLevelType w:val="multilevel"/>
    <w:tmpl w:val="CE30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A13CA"/>
    <w:multiLevelType w:val="multilevel"/>
    <w:tmpl w:val="DA06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7AC749D"/>
    <w:multiLevelType w:val="multilevel"/>
    <w:tmpl w:val="E0164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AB29C9"/>
    <w:multiLevelType w:val="multilevel"/>
    <w:tmpl w:val="58E85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271589E"/>
    <w:multiLevelType w:val="multilevel"/>
    <w:tmpl w:val="E5D2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BB7C46"/>
    <w:multiLevelType w:val="multilevel"/>
    <w:tmpl w:val="B93A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32229E"/>
    <w:multiLevelType w:val="multilevel"/>
    <w:tmpl w:val="984E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A767A9"/>
    <w:multiLevelType w:val="multilevel"/>
    <w:tmpl w:val="FDB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8B3CCA"/>
    <w:multiLevelType w:val="multilevel"/>
    <w:tmpl w:val="A766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47"/>
  </w:num>
  <w:num w:numId="8">
    <w:abstractNumId w:val="51"/>
  </w:num>
  <w:num w:numId="9">
    <w:abstractNumId w:val="67"/>
  </w:num>
  <w:num w:numId="10">
    <w:abstractNumId w:val="26"/>
  </w:num>
  <w:num w:numId="11">
    <w:abstractNumId w:val="29"/>
  </w:num>
  <w:num w:numId="12">
    <w:abstractNumId w:val="65"/>
  </w:num>
  <w:num w:numId="13">
    <w:abstractNumId w:val="37"/>
  </w:num>
  <w:num w:numId="14">
    <w:abstractNumId w:val="42"/>
  </w:num>
  <w:num w:numId="15">
    <w:abstractNumId w:val="48"/>
  </w:num>
  <w:num w:numId="16">
    <w:abstractNumId w:val="36"/>
  </w:num>
  <w:num w:numId="17">
    <w:abstractNumId w:val="53"/>
  </w:num>
  <w:num w:numId="18">
    <w:abstractNumId w:val="55"/>
  </w:num>
  <w:num w:numId="19">
    <w:abstractNumId w:val="54"/>
  </w:num>
  <w:num w:numId="20">
    <w:abstractNumId w:val="31"/>
  </w:num>
  <w:num w:numId="21">
    <w:abstractNumId w:val="41"/>
  </w:num>
  <w:num w:numId="22">
    <w:abstractNumId w:val="38"/>
  </w:num>
  <w:num w:numId="23">
    <w:abstractNumId w:val="50"/>
  </w:num>
  <w:num w:numId="24">
    <w:abstractNumId w:val="43"/>
  </w:num>
  <w:num w:numId="25">
    <w:abstractNumId w:val="35"/>
  </w:num>
  <w:num w:numId="26">
    <w:abstractNumId w:val="61"/>
  </w:num>
  <w:num w:numId="27">
    <w:abstractNumId w:val="46"/>
  </w:num>
  <w:num w:numId="28">
    <w:abstractNumId w:val="62"/>
  </w:num>
  <w:num w:numId="29">
    <w:abstractNumId w:val="66"/>
  </w:num>
  <w:num w:numId="30">
    <w:abstractNumId w:val="52"/>
  </w:num>
  <w:num w:numId="31">
    <w:abstractNumId w:val="33"/>
  </w:num>
  <w:num w:numId="32">
    <w:abstractNumId w:val="34"/>
  </w:num>
  <w:num w:numId="33">
    <w:abstractNumId w:val="68"/>
  </w:num>
  <w:num w:numId="34">
    <w:abstractNumId w:val="45"/>
  </w:num>
  <w:num w:numId="35">
    <w:abstractNumId w:val="32"/>
  </w:num>
  <w:num w:numId="36">
    <w:abstractNumId w:val="64"/>
  </w:num>
  <w:num w:numId="37">
    <w:abstractNumId w:val="49"/>
  </w:num>
  <w:num w:numId="38">
    <w:abstractNumId w:val="58"/>
  </w:num>
  <w:num w:numId="39">
    <w:abstractNumId w:val="59"/>
  </w:num>
  <w:num w:numId="40">
    <w:abstractNumId w:val="60"/>
  </w:num>
  <w:num w:numId="41">
    <w:abstractNumId w:val="40"/>
  </w:num>
  <w:num w:numId="42">
    <w:abstractNumId w:val="30"/>
  </w:num>
  <w:num w:numId="43">
    <w:abstractNumId w:val="69"/>
  </w:num>
  <w:num w:numId="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76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31606</TotalTime>
  <Pages>9</Pages>
  <Words>3866</Words>
  <Characters>22039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6049</cp:revision>
  <cp:lastPrinted>2009-02-06T05:36:00Z</cp:lastPrinted>
  <dcterms:created xsi:type="dcterms:W3CDTF">2016-09-19T15:12:00Z</dcterms:created>
  <dcterms:modified xsi:type="dcterms:W3CDTF">2017-02-20T11:30:00Z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