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C1A0" w14:textId="77777777" w:rsidR="00230682" w:rsidRPr="00230682" w:rsidRDefault="00230682" w:rsidP="00230682">
      <w:pPr>
        <w:tabs>
          <w:tab w:val="clear" w:pos="709"/>
        </w:tabs>
        <w:suppressAutoHyphens w:val="0"/>
        <w:spacing w:after="160" w:line="240" w:lineRule="auto"/>
        <w:ind w:firstLine="0"/>
        <w:jc w:val="center"/>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НАЦІОНАЛЬНИЙ ПЕДАГОГІЧНИЙ УНІВЕРСИТЕТ</w:t>
      </w:r>
    </w:p>
    <w:p w14:paraId="3E05DEE8" w14:textId="77777777" w:rsidR="00230682" w:rsidRPr="00230682" w:rsidRDefault="00230682" w:rsidP="00230682">
      <w:pPr>
        <w:tabs>
          <w:tab w:val="clear" w:pos="709"/>
        </w:tabs>
        <w:suppressAutoHyphens w:val="0"/>
        <w:spacing w:after="640" w:line="240" w:lineRule="auto"/>
        <w:ind w:firstLine="0"/>
        <w:jc w:val="center"/>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імені М.П. ДРАГОМАНОВА</w:t>
      </w:r>
    </w:p>
    <w:p w14:paraId="02454493" w14:textId="77777777" w:rsidR="00230682" w:rsidRPr="00230682" w:rsidRDefault="00230682" w:rsidP="00230682">
      <w:pPr>
        <w:tabs>
          <w:tab w:val="clear" w:pos="709"/>
        </w:tabs>
        <w:suppressAutoHyphens w:val="0"/>
        <w:spacing w:after="1440" w:line="240" w:lineRule="auto"/>
        <w:ind w:left="6800" w:right="160" w:firstLine="0"/>
        <w:jc w:val="righ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14:paraId="36646A29" w14:textId="77777777" w:rsidR="00230682" w:rsidRPr="00230682" w:rsidRDefault="00230682" w:rsidP="00230682">
      <w:pPr>
        <w:keepNext/>
        <w:keepLines/>
        <w:tabs>
          <w:tab w:val="clear" w:pos="709"/>
        </w:tabs>
        <w:suppressAutoHyphens w:val="0"/>
        <w:spacing w:after="160" w:line="240" w:lineRule="auto"/>
        <w:ind w:firstLine="0"/>
        <w:jc w:val="center"/>
        <w:outlineLvl w:val="3"/>
        <w:rPr>
          <w:rFonts w:ascii="Times New Roman" w:eastAsia="Times New Roman" w:hAnsi="Times New Roman" w:cs="Times New Roman"/>
          <w:b/>
          <w:bCs/>
          <w:color w:val="000000"/>
          <w:kern w:val="0"/>
          <w:sz w:val="28"/>
          <w:szCs w:val="28"/>
          <w:lang w:val="uk-UA" w:eastAsia="uk-UA" w:bidi="uk-UA"/>
        </w:rPr>
      </w:pPr>
      <w:bookmarkStart w:id="0" w:name="bookmark0"/>
      <w:r w:rsidRPr="00230682">
        <w:rPr>
          <w:rFonts w:ascii="Times New Roman" w:eastAsia="Times New Roman" w:hAnsi="Times New Roman" w:cs="Times New Roman"/>
          <w:b/>
          <w:bCs/>
          <w:color w:val="000000"/>
          <w:kern w:val="0"/>
          <w:sz w:val="28"/>
          <w:szCs w:val="28"/>
          <w:lang w:eastAsia="ru-RU" w:bidi="ru-RU"/>
        </w:rPr>
        <w:t xml:space="preserve">ЛАНЬ </w:t>
      </w:r>
      <w:r w:rsidRPr="00230682">
        <w:rPr>
          <w:rFonts w:ascii="Times New Roman" w:eastAsia="Times New Roman" w:hAnsi="Times New Roman" w:cs="Times New Roman"/>
          <w:b/>
          <w:bCs/>
          <w:color w:val="000000"/>
          <w:kern w:val="0"/>
          <w:sz w:val="28"/>
          <w:szCs w:val="28"/>
          <w:lang w:val="uk-UA" w:eastAsia="uk-UA" w:bidi="uk-UA"/>
        </w:rPr>
        <w:t>СІНЬЦЗЮНЬ</w:t>
      </w:r>
      <w:bookmarkEnd w:id="0"/>
    </w:p>
    <w:p w14:paraId="4549678F" w14:textId="77777777" w:rsidR="00230682" w:rsidRPr="00230682" w:rsidRDefault="00230682" w:rsidP="00230682">
      <w:pPr>
        <w:tabs>
          <w:tab w:val="clear" w:pos="709"/>
        </w:tabs>
        <w:suppressAutoHyphens w:val="0"/>
        <w:spacing w:after="640" w:line="240" w:lineRule="auto"/>
        <w:ind w:right="920" w:firstLine="0"/>
        <w:jc w:val="righ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eastAsia="ru-RU" w:bidi="ru-RU"/>
        </w:rPr>
        <w:t>УДК:786.2:374</w:t>
      </w:r>
    </w:p>
    <w:p w14:paraId="2C16C06D" w14:textId="77777777" w:rsidR="00230682" w:rsidRPr="00230682" w:rsidRDefault="00230682" w:rsidP="00230682">
      <w:pPr>
        <w:tabs>
          <w:tab w:val="clear" w:pos="709"/>
        </w:tabs>
        <w:suppressAutoHyphens w:val="0"/>
        <w:spacing w:after="160" w:line="240" w:lineRule="auto"/>
        <w:ind w:firstLine="0"/>
        <w:jc w:val="center"/>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b/>
          <w:bCs/>
          <w:color w:val="000000"/>
          <w:kern w:val="0"/>
          <w:sz w:val="28"/>
          <w:szCs w:val="28"/>
          <w:lang w:val="uk-UA" w:eastAsia="uk-UA" w:bidi="uk-UA"/>
        </w:rPr>
        <w:t>ДИСЕРТАЦІЯ</w:t>
      </w:r>
    </w:p>
    <w:p w14:paraId="7FE0E984" w14:textId="77777777" w:rsidR="00230682" w:rsidRPr="00230682" w:rsidRDefault="00230682" w:rsidP="00230682">
      <w:pPr>
        <w:tabs>
          <w:tab w:val="clear" w:pos="709"/>
        </w:tabs>
        <w:suppressAutoHyphens w:val="0"/>
        <w:spacing w:after="160" w:line="240" w:lineRule="auto"/>
        <w:ind w:left="1020"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b/>
          <w:bCs/>
          <w:color w:val="000000"/>
          <w:kern w:val="0"/>
          <w:sz w:val="28"/>
          <w:szCs w:val="28"/>
          <w:lang w:eastAsia="ru-RU" w:bidi="ru-RU"/>
        </w:rPr>
        <w:t xml:space="preserve">ЗАБЕЗПЕЧЕННЯ </w:t>
      </w:r>
      <w:r w:rsidRPr="00230682">
        <w:rPr>
          <w:rFonts w:ascii="Times New Roman" w:eastAsia="Times New Roman" w:hAnsi="Times New Roman" w:cs="Times New Roman"/>
          <w:b/>
          <w:bCs/>
          <w:color w:val="000000"/>
          <w:kern w:val="0"/>
          <w:sz w:val="28"/>
          <w:szCs w:val="28"/>
          <w:lang w:val="uk-UA" w:eastAsia="uk-UA" w:bidi="uk-UA"/>
        </w:rPr>
        <w:t xml:space="preserve">НАСТУПНОСТІ ФОРТЕПІАННОГО </w:t>
      </w:r>
      <w:r w:rsidRPr="00230682">
        <w:rPr>
          <w:rFonts w:ascii="Times New Roman" w:eastAsia="Times New Roman" w:hAnsi="Times New Roman" w:cs="Times New Roman"/>
          <w:b/>
          <w:bCs/>
          <w:color w:val="000000"/>
          <w:kern w:val="0"/>
          <w:sz w:val="28"/>
          <w:szCs w:val="28"/>
          <w:lang w:eastAsia="ru-RU" w:bidi="ru-RU"/>
        </w:rPr>
        <w:t>НАВЧАННЯ</w:t>
      </w:r>
    </w:p>
    <w:p w14:paraId="726B5793" w14:textId="77777777" w:rsidR="00230682" w:rsidRPr="00230682" w:rsidRDefault="00230682" w:rsidP="00230682">
      <w:pPr>
        <w:tabs>
          <w:tab w:val="clear" w:pos="709"/>
        </w:tabs>
        <w:suppressAutoHyphens w:val="0"/>
        <w:spacing w:after="160" w:line="240" w:lineRule="auto"/>
        <w:ind w:left="1020"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b/>
          <w:bCs/>
          <w:color w:val="000000"/>
          <w:kern w:val="0"/>
          <w:sz w:val="28"/>
          <w:szCs w:val="28"/>
          <w:lang w:val="uk-UA" w:eastAsia="uk-UA" w:bidi="uk-UA"/>
        </w:rPr>
        <w:t xml:space="preserve">СТУДЕНТІВ </w:t>
      </w:r>
      <w:r w:rsidRPr="00230682">
        <w:rPr>
          <w:rFonts w:ascii="Times New Roman" w:eastAsia="Times New Roman" w:hAnsi="Times New Roman" w:cs="Times New Roman"/>
          <w:b/>
          <w:bCs/>
          <w:color w:val="000000"/>
          <w:kern w:val="0"/>
          <w:sz w:val="28"/>
          <w:szCs w:val="28"/>
          <w:lang w:eastAsia="ru-RU" w:bidi="ru-RU"/>
        </w:rPr>
        <w:t xml:space="preserve">З КНР В </w:t>
      </w:r>
      <w:r w:rsidRPr="00230682">
        <w:rPr>
          <w:rFonts w:ascii="Times New Roman" w:eastAsia="Times New Roman" w:hAnsi="Times New Roman" w:cs="Times New Roman"/>
          <w:b/>
          <w:bCs/>
          <w:color w:val="000000"/>
          <w:kern w:val="0"/>
          <w:sz w:val="28"/>
          <w:szCs w:val="28"/>
          <w:lang w:val="uk-UA" w:eastAsia="uk-UA" w:bidi="uk-UA"/>
        </w:rPr>
        <w:t>СИСТЕМІ МУЗИЧНО-ПЕДАГОГІЧНОЇ</w:t>
      </w:r>
    </w:p>
    <w:p w14:paraId="1B0B8E87" w14:textId="77777777" w:rsidR="00230682" w:rsidRPr="00230682" w:rsidRDefault="00230682" w:rsidP="00230682">
      <w:pPr>
        <w:tabs>
          <w:tab w:val="clear" w:pos="709"/>
        </w:tabs>
        <w:suppressAutoHyphens w:val="0"/>
        <w:spacing w:after="160" w:line="240" w:lineRule="auto"/>
        <w:ind w:firstLine="0"/>
        <w:jc w:val="center"/>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b/>
          <w:bCs/>
          <w:color w:val="000000"/>
          <w:kern w:val="0"/>
          <w:sz w:val="28"/>
          <w:szCs w:val="28"/>
          <w:lang w:val="uk-UA" w:eastAsia="uk-UA" w:bidi="uk-UA"/>
        </w:rPr>
        <w:t>ОСВІТИ УКРАЇНИ</w:t>
      </w:r>
    </w:p>
    <w:p w14:paraId="256788B7" w14:textId="77777777" w:rsidR="00230682" w:rsidRPr="00230682" w:rsidRDefault="00230682" w:rsidP="00230682">
      <w:pPr>
        <w:tabs>
          <w:tab w:val="clear" w:pos="709"/>
        </w:tabs>
        <w:suppressAutoHyphens w:val="0"/>
        <w:spacing w:line="240" w:lineRule="auto"/>
        <w:ind w:firstLine="0"/>
        <w:jc w:val="center"/>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13.00.02 - теорія та методика музичного навчання</w:t>
      </w:r>
    </w:p>
    <w:p w14:paraId="0FF4ACC0" w14:textId="77777777" w:rsidR="00230682" w:rsidRPr="00230682" w:rsidRDefault="00230682" w:rsidP="00230682">
      <w:pPr>
        <w:tabs>
          <w:tab w:val="clear" w:pos="709"/>
        </w:tabs>
        <w:suppressAutoHyphens w:val="0"/>
        <w:spacing w:after="1000" w:line="240" w:lineRule="auto"/>
        <w:ind w:firstLine="86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педагогічних наук</w:t>
      </w:r>
    </w:p>
    <w:p w14:paraId="3893F42D" w14:textId="77777777" w:rsidR="00230682" w:rsidRPr="00230682" w:rsidRDefault="00230682" w:rsidP="00230682">
      <w:pPr>
        <w:tabs>
          <w:tab w:val="clear" w:pos="709"/>
          <w:tab w:val="left" w:leader="underscore" w:pos="2119"/>
        </w:tabs>
        <w:suppressAutoHyphens w:val="0"/>
        <w:spacing w:after="700" w:line="276" w:lineRule="auto"/>
        <w:ind w:left="300"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230682">
        <w:rPr>
          <w:rFonts w:ascii="Times New Roman" w:eastAsia="Times New Roman" w:hAnsi="Times New Roman" w:cs="Times New Roman"/>
          <w:b/>
          <w:bCs/>
          <w:color w:val="000000"/>
          <w:kern w:val="0"/>
          <w:sz w:val="28"/>
          <w:szCs w:val="28"/>
          <w:lang w:val="uk-UA" w:eastAsia="uk-UA" w:bidi="uk-UA"/>
        </w:rPr>
        <w:tab/>
        <w:t xml:space="preserve"> Лань Сіньцзюнь</w:t>
      </w:r>
    </w:p>
    <w:p w14:paraId="1F0B458E" w14:textId="77777777" w:rsidR="00230682" w:rsidRPr="00230682" w:rsidRDefault="00230682" w:rsidP="00230682">
      <w:pPr>
        <w:tabs>
          <w:tab w:val="clear" w:pos="709"/>
        </w:tabs>
        <w:suppressAutoHyphens w:val="0"/>
        <w:spacing w:after="760" w:line="276" w:lineRule="auto"/>
        <w:ind w:left="300"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 xml:space="preserve">Науковий керівник - </w:t>
      </w:r>
      <w:r w:rsidRPr="00230682">
        <w:rPr>
          <w:rFonts w:ascii="Times New Roman" w:eastAsia="Times New Roman" w:hAnsi="Times New Roman" w:cs="Times New Roman"/>
          <w:b/>
          <w:bCs/>
          <w:color w:val="000000"/>
          <w:kern w:val="0"/>
          <w:sz w:val="28"/>
          <w:szCs w:val="28"/>
          <w:lang w:val="uk-UA" w:eastAsia="uk-UA" w:bidi="uk-UA"/>
        </w:rPr>
        <w:t>Щолокова Ольга Пилипівна</w:t>
      </w:r>
      <w:r w:rsidRPr="00230682">
        <w:rPr>
          <w:rFonts w:ascii="Times New Roman" w:eastAsia="Times New Roman" w:hAnsi="Times New Roman" w:cs="Times New Roman"/>
          <w:color w:val="000000"/>
          <w:kern w:val="0"/>
          <w:sz w:val="28"/>
          <w:szCs w:val="28"/>
          <w:lang w:val="uk-UA" w:eastAsia="uk-UA" w:bidi="uk-UA"/>
        </w:rPr>
        <w:t>, доктор педагогічних наук, професор</w:t>
      </w:r>
    </w:p>
    <w:p w14:paraId="0E781EF2" w14:textId="77777777" w:rsidR="00230682" w:rsidRPr="00230682" w:rsidRDefault="00230682" w:rsidP="00230682">
      <w:pPr>
        <w:tabs>
          <w:tab w:val="clear" w:pos="709"/>
        </w:tabs>
        <w:suppressAutoHyphens w:val="0"/>
        <w:spacing w:after="420" w:line="240" w:lineRule="auto"/>
        <w:ind w:firstLine="0"/>
        <w:jc w:val="center"/>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Київ - 2019</w:t>
      </w:r>
    </w:p>
    <w:p w14:paraId="54A1B7DD" w14:textId="1A5B1D25" w:rsidR="00565E80" w:rsidRDefault="00565E80" w:rsidP="00230682"/>
    <w:p w14:paraId="53DAFDB9" w14:textId="77777777" w:rsidR="00230682" w:rsidRDefault="00230682" w:rsidP="00230682"/>
    <w:p w14:paraId="3A7B1248" w14:textId="77777777" w:rsidR="00230682" w:rsidRPr="00230682" w:rsidRDefault="00230682" w:rsidP="00230682">
      <w:pPr>
        <w:keepNext/>
        <w:keepLines/>
        <w:tabs>
          <w:tab w:val="clear" w:pos="709"/>
        </w:tabs>
        <w:suppressAutoHyphens w:val="0"/>
        <w:spacing w:after="0" w:line="360" w:lineRule="auto"/>
        <w:ind w:left="3560" w:firstLine="0"/>
        <w:jc w:val="left"/>
        <w:outlineLvl w:val="3"/>
        <w:rPr>
          <w:rFonts w:ascii="Times New Roman" w:eastAsia="Times New Roman" w:hAnsi="Times New Roman" w:cs="Times New Roman"/>
          <w:b/>
          <w:bCs/>
          <w:color w:val="000000"/>
          <w:kern w:val="0"/>
          <w:sz w:val="28"/>
          <w:szCs w:val="28"/>
          <w:lang w:val="uk-UA" w:eastAsia="uk-UA" w:bidi="uk-UA"/>
        </w:rPr>
      </w:pPr>
      <w:bookmarkStart w:id="1" w:name="bookmark6"/>
      <w:r w:rsidRPr="00230682">
        <w:rPr>
          <w:rFonts w:ascii="Times New Roman" w:eastAsia="Times New Roman" w:hAnsi="Times New Roman" w:cs="Times New Roman"/>
          <w:b/>
          <w:bCs/>
          <w:color w:val="000000"/>
          <w:kern w:val="0"/>
          <w:sz w:val="28"/>
          <w:szCs w:val="28"/>
          <w:lang w:val="uk-UA" w:eastAsia="uk-UA" w:bidi="uk-UA"/>
        </w:rPr>
        <w:t>ЗМІСТ</w:t>
      </w:r>
      <w:bookmarkEnd w:id="1"/>
    </w:p>
    <w:p w14:paraId="1E792049" w14:textId="77777777" w:rsidR="00230682" w:rsidRPr="00230682" w:rsidRDefault="00230682" w:rsidP="00230682">
      <w:pPr>
        <w:tabs>
          <w:tab w:val="clear" w:pos="709"/>
          <w:tab w:val="right" w:pos="9022"/>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fldChar w:fldCharType="begin"/>
      </w:r>
      <w:r w:rsidRPr="00230682">
        <w:rPr>
          <w:rFonts w:ascii="Times New Roman" w:eastAsia="Times New Roman" w:hAnsi="Times New Roman" w:cs="Times New Roman"/>
          <w:color w:val="000000"/>
          <w:kern w:val="0"/>
          <w:sz w:val="28"/>
          <w:szCs w:val="28"/>
          <w:lang w:val="uk-UA" w:eastAsia="uk-UA" w:bidi="uk-UA"/>
        </w:rPr>
        <w:instrText xml:space="preserve"> TOC \o "1-5" \h \z </w:instrText>
      </w:r>
      <w:r w:rsidRPr="00230682">
        <w:rPr>
          <w:rFonts w:ascii="Times New Roman" w:eastAsia="Times New Roman" w:hAnsi="Times New Roman" w:cs="Times New Roman"/>
          <w:color w:val="000000"/>
          <w:kern w:val="0"/>
          <w:sz w:val="28"/>
          <w:szCs w:val="28"/>
          <w:lang w:val="uk-UA" w:eastAsia="uk-UA" w:bidi="uk-UA"/>
        </w:rPr>
        <w:fldChar w:fldCharType="separate"/>
      </w:r>
      <w:hyperlink w:anchor="bookmark2" w:tooltip="Current Document">
        <w:r w:rsidRPr="00230682">
          <w:rPr>
            <w:rFonts w:ascii="Times New Roman" w:eastAsia="Times New Roman" w:hAnsi="Times New Roman" w:cs="Times New Roman"/>
            <w:color w:val="000000"/>
            <w:kern w:val="0"/>
            <w:sz w:val="28"/>
            <w:szCs w:val="28"/>
            <w:lang w:val="uk-UA" w:eastAsia="uk-UA" w:bidi="uk-UA"/>
          </w:rPr>
          <w:t>Анотація</w:t>
        </w:r>
        <w:r w:rsidRPr="00230682">
          <w:rPr>
            <w:rFonts w:ascii="Times New Roman" w:eastAsia="Times New Roman" w:hAnsi="Times New Roman" w:cs="Times New Roman"/>
            <w:color w:val="000000"/>
            <w:kern w:val="0"/>
            <w:sz w:val="28"/>
            <w:szCs w:val="28"/>
            <w:lang w:val="uk-UA" w:eastAsia="uk-UA" w:bidi="uk-UA"/>
          </w:rPr>
          <w:tab/>
          <w:t>2</w:t>
        </w:r>
      </w:hyperlink>
    </w:p>
    <w:p w14:paraId="27D858FA" w14:textId="77777777" w:rsidR="00230682" w:rsidRPr="00230682" w:rsidRDefault="00230682" w:rsidP="00230682">
      <w:pPr>
        <w:tabs>
          <w:tab w:val="clear" w:pos="709"/>
          <w:tab w:val="right" w:pos="9022"/>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hyperlink w:anchor="bookmark6" w:tooltip="Current Document">
        <w:r w:rsidRPr="00230682">
          <w:rPr>
            <w:rFonts w:ascii="Times New Roman" w:eastAsia="Times New Roman" w:hAnsi="Times New Roman" w:cs="Times New Roman"/>
            <w:color w:val="000000"/>
            <w:kern w:val="0"/>
            <w:sz w:val="28"/>
            <w:szCs w:val="28"/>
            <w:lang w:val="uk-UA" w:eastAsia="uk-UA" w:bidi="uk-UA"/>
          </w:rPr>
          <w:t>Зміст</w:t>
        </w:r>
        <w:r w:rsidRPr="00230682">
          <w:rPr>
            <w:rFonts w:ascii="Times New Roman" w:eastAsia="Times New Roman" w:hAnsi="Times New Roman" w:cs="Times New Roman"/>
            <w:color w:val="000000"/>
            <w:kern w:val="0"/>
            <w:sz w:val="28"/>
            <w:szCs w:val="28"/>
            <w:lang w:val="uk-UA" w:eastAsia="uk-UA" w:bidi="uk-UA"/>
          </w:rPr>
          <w:tab/>
          <w:t>18</w:t>
        </w:r>
      </w:hyperlink>
    </w:p>
    <w:p w14:paraId="31DA3B19" w14:textId="77777777" w:rsidR="00230682" w:rsidRPr="00230682" w:rsidRDefault="00230682" w:rsidP="00230682">
      <w:pPr>
        <w:tabs>
          <w:tab w:val="clear" w:pos="709"/>
          <w:tab w:val="right" w:pos="9022"/>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hyperlink w:anchor="bookmark8" w:tooltip="Current Document">
        <w:r w:rsidRPr="00230682">
          <w:rPr>
            <w:rFonts w:ascii="Times New Roman" w:eastAsia="Times New Roman" w:hAnsi="Times New Roman" w:cs="Times New Roman"/>
            <w:color w:val="000000"/>
            <w:kern w:val="0"/>
            <w:sz w:val="28"/>
            <w:szCs w:val="28"/>
            <w:lang w:val="uk-UA" w:eastAsia="uk-UA" w:bidi="uk-UA"/>
          </w:rPr>
          <w:t>Вступ</w:t>
        </w:r>
        <w:r w:rsidRPr="00230682">
          <w:rPr>
            <w:rFonts w:ascii="Times New Roman" w:eastAsia="Times New Roman" w:hAnsi="Times New Roman" w:cs="Times New Roman"/>
            <w:color w:val="000000"/>
            <w:kern w:val="0"/>
            <w:sz w:val="28"/>
            <w:szCs w:val="28"/>
            <w:lang w:val="uk-UA" w:eastAsia="uk-UA" w:bidi="uk-UA"/>
          </w:rPr>
          <w:tab/>
          <w:t>19</w:t>
        </w:r>
      </w:hyperlink>
    </w:p>
    <w:p w14:paraId="1C1A047A" w14:textId="77777777" w:rsidR="00230682" w:rsidRPr="00230682" w:rsidRDefault="00230682" w:rsidP="00230682">
      <w:pPr>
        <w:tabs>
          <w:tab w:val="clear" w:pos="709"/>
          <w:tab w:val="right" w:pos="9624"/>
        </w:tabs>
        <w:suppressAutoHyphens w:val="0"/>
        <w:spacing w:line="360" w:lineRule="auto"/>
        <w:ind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Розділ І. Теоретичні основи дослідження проблеми наступності фортепіанного навчання в системі музично-педагогічної освіти України</w:t>
      </w:r>
      <w:r w:rsidRPr="00230682">
        <w:rPr>
          <w:rFonts w:ascii="Times New Roman" w:eastAsia="Times New Roman" w:hAnsi="Times New Roman" w:cs="Times New Roman"/>
          <w:color w:val="000000"/>
          <w:kern w:val="0"/>
          <w:sz w:val="28"/>
          <w:szCs w:val="28"/>
          <w:lang w:val="uk-UA" w:eastAsia="uk-UA" w:bidi="uk-UA"/>
        </w:rPr>
        <w:tab/>
        <w:t>25</w:t>
      </w:r>
    </w:p>
    <w:p w14:paraId="2D2A805B" w14:textId="77777777" w:rsidR="00230682" w:rsidRPr="00230682" w:rsidRDefault="00230682" w:rsidP="00230682">
      <w:pPr>
        <w:numPr>
          <w:ilvl w:val="1"/>
          <w:numId w:val="26"/>
        </w:numPr>
        <w:tabs>
          <w:tab w:val="clear" w:pos="709"/>
          <w:tab w:val="left" w:pos="1203"/>
          <w:tab w:val="left" w:pos="9091"/>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hyperlink w:anchor="bookmark10" w:tooltip="Current Document">
        <w:r w:rsidRPr="00230682">
          <w:rPr>
            <w:rFonts w:ascii="Times New Roman" w:eastAsia="Times New Roman" w:hAnsi="Times New Roman" w:cs="Times New Roman"/>
            <w:color w:val="000000"/>
            <w:kern w:val="0"/>
            <w:sz w:val="28"/>
            <w:szCs w:val="28"/>
            <w:lang w:val="uk-UA" w:eastAsia="uk-UA" w:bidi="uk-UA"/>
          </w:rPr>
          <w:t>Наступність навчання як загальнонаукова проблема</w:t>
        </w:r>
        <w:r w:rsidRPr="00230682">
          <w:rPr>
            <w:rFonts w:ascii="Times New Roman" w:eastAsia="Times New Roman" w:hAnsi="Times New Roman" w:cs="Times New Roman"/>
            <w:color w:val="000000"/>
            <w:kern w:val="0"/>
            <w:sz w:val="28"/>
            <w:szCs w:val="28"/>
            <w:lang w:val="uk-UA" w:eastAsia="uk-UA" w:bidi="uk-UA"/>
          </w:rPr>
          <w:tab/>
          <w:t>25</w:t>
        </w:r>
      </w:hyperlink>
      <w:r w:rsidRPr="00230682">
        <w:rPr>
          <w:rFonts w:ascii="Times New Roman" w:eastAsia="Times New Roman" w:hAnsi="Times New Roman" w:cs="Times New Roman"/>
          <w:color w:val="000000"/>
          <w:kern w:val="0"/>
          <w:sz w:val="28"/>
          <w:szCs w:val="28"/>
          <w:lang w:val="uk-UA" w:eastAsia="uk-UA" w:bidi="uk-UA"/>
        </w:rPr>
        <w:fldChar w:fldCharType="end"/>
      </w:r>
    </w:p>
    <w:p w14:paraId="528AFA33" w14:textId="77777777" w:rsidR="00230682" w:rsidRPr="00230682" w:rsidRDefault="00230682" w:rsidP="00230682">
      <w:pPr>
        <w:numPr>
          <w:ilvl w:val="1"/>
          <w:numId w:val="26"/>
        </w:numPr>
        <w:tabs>
          <w:tab w:val="clear" w:pos="709"/>
          <w:tab w:val="left" w:pos="1167"/>
        </w:tabs>
        <w:suppressAutoHyphens w:val="0"/>
        <w:spacing w:after="1560" w:line="360" w:lineRule="auto"/>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w:t>
      </w:r>
    </w:p>
    <w:p w14:paraId="38AD59E2" w14:textId="77777777" w:rsidR="00230682" w:rsidRPr="00230682" w:rsidRDefault="00230682" w:rsidP="00230682">
      <w:pPr>
        <w:numPr>
          <w:ilvl w:val="1"/>
          <w:numId w:val="27"/>
        </w:numPr>
        <w:tabs>
          <w:tab w:val="clear" w:pos="709"/>
          <w:tab w:val="left" w:pos="594"/>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 xml:space="preserve">Педагогічні </w:t>
      </w:r>
      <w:r w:rsidRPr="00230682">
        <w:rPr>
          <w:rFonts w:ascii="Times New Roman" w:eastAsia="Times New Roman" w:hAnsi="Times New Roman" w:cs="Times New Roman"/>
          <w:color w:val="000000"/>
          <w:kern w:val="0"/>
          <w:sz w:val="28"/>
          <w:szCs w:val="28"/>
          <w:lang w:eastAsia="ru-RU" w:bidi="ru-RU"/>
        </w:rPr>
        <w:t xml:space="preserve">умови та принципи забезпечення </w:t>
      </w:r>
      <w:r w:rsidRPr="00230682">
        <w:rPr>
          <w:rFonts w:ascii="Times New Roman" w:eastAsia="Times New Roman" w:hAnsi="Times New Roman" w:cs="Times New Roman"/>
          <w:color w:val="000000"/>
          <w:kern w:val="0"/>
          <w:sz w:val="28"/>
          <w:szCs w:val="28"/>
          <w:lang w:val="uk-UA" w:eastAsia="uk-UA" w:bidi="uk-UA"/>
        </w:rPr>
        <w:t xml:space="preserve">наступності фортепіанного </w:t>
      </w:r>
      <w:r w:rsidRPr="00230682">
        <w:rPr>
          <w:rFonts w:ascii="Times New Roman" w:eastAsia="Times New Roman" w:hAnsi="Times New Roman" w:cs="Times New Roman"/>
          <w:color w:val="000000"/>
          <w:kern w:val="0"/>
          <w:sz w:val="28"/>
          <w:szCs w:val="28"/>
          <w:lang w:eastAsia="ru-RU" w:bidi="ru-RU"/>
        </w:rPr>
        <w:t>навчання</w:t>
      </w:r>
    </w:p>
    <w:p w14:paraId="6D5E0765" w14:textId="77777777" w:rsidR="00230682" w:rsidRPr="00230682" w:rsidRDefault="00230682" w:rsidP="00230682">
      <w:pPr>
        <w:numPr>
          <w:ilvl w:val="1"/>
          <w:numId w:val="27"/>
        </w:numPr>
        <w:tabs>
          <w:tab w:val="clear" w:pos="709"/>
          <w:tab w:val="left" w:pos="594"/>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 xml:space="preserve">Зміст </w:t>
      </w:r>
      <w:r w:rsidRPr="00230682">
        <w:rPr>
          <w:rFonts w:ascii="Times New Roman" w:eastAsia="Times New Roman" w:hAnsi="Times New Roman" w:cs="Times New Roman"/>
          <w:color w:val="000000"/>
          <w:kern w:val="0"/>
          <w:sz w:val="28"/>
          <w:szCs w:val="28"/>
          <w:lang w:eastAsia="ru-RU" w:bidi="ru-RU"/>
        </w:rPr>
        <w:t xml:space="preserve">та структура </w:t>
      </w:r>
      <w:r w:rsidRPr="00230682">
        <w:rPr>
          <w:rFonts w:ascii="Times New Roman" w:eastAsia="Times New Roman" w:hAnsi="Times New Roman" w:cs="Times New Roman"/>
          <w:color w:val="000000"/>
          <w:kern w:val="0"/>
          <w:sz w:val="28"/>
          <w:szCs w:val="28"/>
          <w:lang w:val="uk-UA" w:eastAsia="uk-UA" w:bidi="uk-UA"/>
        </w:rPr>
        <w:t xml:space="preserve">наступності фортепіанного </w:t>
      </w:r>
      <w:r w:rsidRPr="00230682">
        <w:rPr>
          <w:rFonts w:ascii="Times New Roman" w:eastAsia="Times New Roman" w:hAnsi="Times New Roman" w:cs="Times New Roman"/>
          <w:color w:val="000000"/>
          <w:kern w:val="0"/>
          <w:sz w:val="28"/>
          <w:szCs w:val="28"/>
          <w:lang w:eastAsia="ru-RU" w:bidi="ru-RU"/>
        </w:rPr>
        <w:t>навчання</w:t>
      </w:r>
    </w:p>
    <w:p w14:paraId="4B4E94CB" w14:textId="77777777" w:rsidR="00230682" w:rsidRPr="00230682" w:rsidRDefault="00230682" w:rsidP="00230682">
      <w:pPr>
        <w:tabs>
          <w:tab w:val="clear" w:pos="709"/>
        </w:tabs>
        <w:suppressAutoHyphens w:val="0"/>
        <w:spacing w:line="360" w:lineRule="auto"/>
        <w:ind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ru-RU" w:bidi="ru-RU"/>
        </w:rPr>
        <w:t xml:space="preserve">Висновки до 2 </w:t>
      </w:r>
      <w:r w:rsidRPr="00230682">
        <w:rPr>
          <w:rFonts w:ascii="Times New Roman" w:eastAsia="Times New Roman" w:hAnsi="Times New Roman" w:cs="Times New Roman"/>
          <w:color w:val="000000"/>
          <w:kern w:val="0"/>
          <w:sz w:val="28"/>
          <w:szCs w:val="28"/>
          <w:lang w:val="uk-UA" w:eastAsia="uk-UA" w:bidi="uk-UA"/>
        </w:rPr>
        <w:t>розділу</w:t>
      </w:r>
    </w:p>
    <w:p w14:paraId="20AF0731" w14:textId="77777777" w:rsidR="00230682" w:rsidRPr="00230682" w:rsidRDefault="00230682" w:rsidP="00230682">
      <w:pPr>
        <w:tabs>
          <w:tab w:val="clear" w:pos="709"/>
        </w:tabs>
        <w:suppressAutoHyphens w:val="0"/>
        <w:spacing w:after="0" w:line="360" w:lineRule="auto"/>
        <w:ind w:firstLine="48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ru-RU" w:bidi="ru-RU"/>
        </w:rPr>
        <w:t>73</w:t>
      </w:r>
    </w:p>
    <w:p w14:paraId="75B3954D" w14:textId="77777777" w:rsidR="00230682" w:rsidRPr="00230682" w:rsidRDefault="00230682" w:rsidP="00230682">
      <w:pPr>
        <w:tabs>
          <w:tab w:val="clear" w:pos="709"/>
        </w:tabs>
        <w:suppressAutoHyphens w:val="0"/>
        <w:spacing w:after="0" w:line="360" w:lineRule="auto"/>
        <w:ind w:firstLine="48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ru-RU" w:bidi="ru-RU"/>
        </w:rPr>
        <w:t>113</w:t>
      </w:r>
    </w:p>
    <w:p w14:paraId="05739526" w14:textId="77777777" w:rsidR="00230682" w:rsidRPr="00230682" w:rsidRDefault="00230682" w:rsidP="00230682">
      <w:pPr>
        <w:tabs>
          <w:tab w:val="clear" w:pos="709"/>
        </w:tabs>
        <w:suppressAutoHyphens w:val="0"/>
        <w:spacing w:line="360" w:lineRule="auto"/>
        <w:ind w:firstLine="34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ru-RU" w:bidi="ru-RU"/>
        </w:rPr>
        <w:t>141</w:t>
      </w:r>
    </w:p>
    <w:p w14:paraId="3E2D951E" w14:textId="77777777" w:rsidR="00230682" w:rsidRPr="00230682" w:rsidRDefault="00230682" w:rsidP="00230682">
      <w:pPr>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 xml:space="preserve">Розділ ІІІ Дослідно-експериментальна перевірка </w:t>
      </w:r>
      <w:r w:rsidRPr="00230682">
        <w:rPr>
          <w:rFonts w:ascii="Times New Roman" w:eastAsia="Times New Roman" w:hAnsi="Times New Roman" w:cs="Times New Roman"/>
          <w:color w:val="000000"/>
          <w:kern w:val="0"/>
          <w:sz w:val="28"/>
          <w:szCs w:val="28"/>
          <w:lang w:val="uk-UA" w:eastAsia="ru-RU" w:bidi="ru-RU"/>
        </w:rPr>
        <w:t xml:space="preserve">забезпечення </w:t>
      </w:r>
      <w:r w:rsidRPr="00230682">
        <w:rPr>
          <w:rFonts w:ascii="Times New Roman" w:eastAsia="Times New Roman" w:hAnsi="Times New Roman" w:cs="Times New Roman"/>
          <w:color w:val="000000"/>
          <w:kern w:val="0"/>
          <w:sz w:val="28"/>
          <w:szCs w:val="28"/>
          <w:lang w:val="uk-UA" w:eastAsia="uk-UA" w:bidi="uk-UA"/>
        </w:rPr>
        <w:t xml:space="preserve">наступності фортепіанного </w:t>
      </w:r>
      <w:r w:rsidRPr="00230682">
        <w:rPr>
          <w:rFonts w:ascii="Times New Roman" w:eastAsia="Times New Roman" w:hAnsi="Times New Roman" w:cs="Times New Roman"/>
          <w:color w:val="000000"/>
          <w:kern w:val="0"/>
          <w:sz w:val="28"/>
          <w:szCs w:val="28"/>
          <w:lang w:val="uk-UA" w:eastAsia="ru-RU" w:bidi="ru-RU"/>
        </w:rPr>
        <w:t xml:space="preserve">навчання </w:t>
      </w:r>
      <w:r w:rsidRPr="00230682">
        <w:rPr>
          <w:rFonts w:ascii="Times New Roman" w:eastAsia="Times New Roman" w:hAnsi="Times New Roman" w:cs="Times New Roman"/>
          <w:color w:val="000000"/>
          <w:kern w:val="0"/>
          <w:sz w:val="28"/>
          <w:szCs w:val="28"/>
          <w:lang w:val="uk-UA" w:eastAsia="uk-UA" w:bidi="uk-UA"/>
        </w:rPr>
        <w:t xml:space="preserve">студентів </w:t>
      </w:r>
      <w:r w:rsidRPr="00230682">
        <w:rPr>
          <w:rFonts w:ascii="Times New Roman" w:eastAsia="Times New Roman" w:hAnsi="Times New Roman" w:cs="Times New Roman"/>
          <w:color w:val="000000"/>
          <w:kern w:val="0"/>
          <w:sz w:val="28"/>
          <w:szCs w:val="28"/>
          <w:lang w:val="uk-UA" w:eastAsia="ru-RU" w:bidi="ru-RU"/>
        </w:rPr>
        <w:t xml:space="preserve">з КНР в </w:t>
      </w:r>
      <w:r w:rsidRPr="00230682">
        <w:rPr>
          <w:rFonts w:ascii="Times New Roman" w:eastAsia="Times New Roman" w:hAnsi="Times New Roman" w:cs="Times New Roman"/>
          <w:color w:val="000000"/>
          <w:kern w:val="0"/>
          <w:sz w:val="28"/>
          <w:szCs w:val="28"/>
          <w:lang w:val="uk-UA" w:eastAsia="uk-UA" w:bidi="uk-UA"/>
        </w:rPr>
        <w:t>системі музично-педагогічної освіти України</w:t>
      </w:r>
    </w:p>
    <w:p w14:paraId="75BE7038" w14:textId="77777777" w:rsidR="00230682" w:rsidRPr="00230682" w:rsidRDefault="00230682" w:rsidP="00230682">
      <w:pPr>
        <w:tabs>
          <w:tab w:val="clear" w:pos="709"/>
        </w:tabs>
        <w:suppressAutoHyphens w:val="0"/>
        <w:spacing w:after="100" w:line="240" w:lineRule="auto"/>
        <w:ind w:firstLine="340"/>
        <w:jc w:val="left"/>
        <w:rPr>
          <w:rFonts w:ascii="Times New Roman" w:eastAsia="Times New Roman" w:hAnsi="Times New Roman" w:cs="Times New Roman"/>
          <w:color w:val="000000"/>
          <w:kern w:val="0"/>
          <w:sz w:val="28"/>
          <w:szCs w:val="28"/>
          <w:lang w:val="uk-UA" w:eastAsia="uk-UA" w:bidi="uk-UA"/>
        </w:rPr>
        <w:sectPr w:rsidR="00230682" w:rsidRPr="00230682" w:rsidSect="004B11EF">
          <w:type w:val="continuous"/>
          <w:pgSz w:w="11900" w:h="16840"/>
          <w:pgMar w:top="1729" w:right="843" w:bottom="1729" w:left="1385" w:header="0" w:footer="1301" w:gutter="0"/>
          <w:cols w:space="720"/>
          <w:noEndnote/>
          <w:docGrid w:linePitch="360"/>
        </w:sectPr>
      </w:pPr>
      <w:r w:rsidRPr="00230682">
        <w:rPr>
          <w:rFonts w:ascii="Times New Roman" w:eastAsia="Times New Roman" w:hAnsi="Times New Roman" w:cs="Times New Roman"/>
          <w:color w:val="000000"/>
          <w:kern w:val="0"/>
          <w:sz w:val="28"/>
          <w:szCs w:val="28"/>
          <w:lang w:eastAsia="ru-RU" w:bidi="ru-RU"/>
        </w:rPr>
        <w:t>144</w:t>
      </w:r>
    </w:p>
    <w:p w14:paraId="25E409C2" w14:textId="77777777" w:rsidR="00230682" w:rsidRPr="00230682" w:rsidRDefault="00230682" w:rsidP="00230682">
      <w:pPr>
        <w:numPr>
          <w:ilvl w:val="1"/>
          <w:numId w:val="28"/>
        </w:numPr>
        <w:tabs>
          <w:tab w:val="clear" w:pos="709"/>
          <w:tab w:val="left" w:pos="594"/>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lastRenderedPageBreak/>
        <w:t>Аналіз сучасного стану наступності фортепіанного навчання студентів у вищих педагогічних закладах освіти (за результатами констатувального експерименту)</w:t>
      </w:r>
    </w:p>
    <w:p w14:paraId="3857233B" w14:textId="77777777" w:rsidR="00230682" w:rsidRPr="00230682" w:rsidRDefault="00230682" w:rsidP="00230682">
      <w:pPr>
        <w:numPr>
          <w:ilvl w:val="1"/>
          <w:numId w:val="28"/>
        </w:numPr>
        <w:tabs>
          <w:tab w:val="clear" w:pos="709"/>
          <w:tab w:val="left" w:pos="589"/>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Хід та результати формувального експерименту</w:t>
      </w:r>
    </w:p>
    <w:p w14:paraId="01EF5A6A" w14:textId="77777777" w:rsidR="00230682" w:rsidRPr="00230682" w:rsidRDefault="00230682" w:rsidP="00230682">
      <w:pPr>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Висновки до 3 розділу</w:t>
      </w:r>
    </w:p>
    <w:p w14:paraId="566C4F07" w14:textId="77777777" w:rsidR="00230682" w:rsidRPr="00230682" w:rsidRDefault="00230682" w:rsidP="00230682">
      <w:pPr>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Загальні висновки</w:t>
      </w:r>
    </w:p>
    <w:p w14:paraId="14209411" w14:textId="77777777" w:rsidR="00230682" w:rsidRPr="00230682" w:rsidRDefault="00230682" w:rsidP="00230682">
      <w:pPr>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Література</w:t>
      </w:r>
    </w:p>
    <w:p w14:paraId="40DD1675" w14:textId="77777777" w:rsidR="00230682" w:rsidRPr="00230682" w:rsidRDefault="00230682" w:rsidP="00230682">
      <w:pPr>
        <w:tabs>
          <w:tab w:val="clear" w:pos="709"/>
        </w:tabs>
        <w:suppressAutoHyphens w:val="0"/>
        <w:spacing w:line="360" w:lineRule="auto"/>
        <w:ind w:firstLine="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Додатки</w:t>
      </w:r>
    </w:p>
    <w:p w14:paraId="7CB36EE0" w14:textId="77777777" w:rsidR="00230682" w:rsidRPr="00230682" w:rsidRDefault="00230682" w:rsidP="00230682">
      <w:pPr>
        <w:tabs>
          <w:tab w:val="clear" w:pos="709"/>
        </w:tabs>
        <w:suppressAutoHyphens w:val="0"/>
        <w:spacing w:after="0" w:line="360" w:lineRule="auto"/>
        <w:ind w:firstLine="48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144</w:t>
      </w:r>
    </w:p>
    <w:p w14:paraId="0AB1888E" w14:textId="77777777" w:rsidR="00230682" w:rsidRPr="00230682" w:rsidRDefault="00230682" w:rsidP="00230682">
      <w:pPr>
        <w:tabs>
          <w:tab w:val="clear" w:pos="709"/>
        </w:tabs>
        <w:suppressAutoHyphens w:val="0"/>
        <w:spacing w:after="0" w:line="360" w:lineRule="auto"/>
        <w:ind w:firstLine="48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171</w:t>
      </w:r>
    </w:p>
    <w:p w14:paraId="57D068C1" w14:textId="77777777" w:rsidR="00230682" w:rsidRPr="00230682" w:rsidRDefault="00230682" w:rsidP="00230682">
      <w:pPr>
        <w:tabs>
          <w:tab w:val="clear" w:pos="709"/>
        </w:tabs>
        <w:suppressAutoHyphens w:val="0"/>
        <w:spacing w:after="0" w:line="360" w:lineRule="auto"/>
        <w:ind w:firstLine="48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203</w:t>
      </w:r>
    </w:p>
    <w:p w14:paraId="714FA4A7" w14:textId="77777777" w:rsidR="00230682" w:rsidRPr="00230682" w:rsidRDefault="00230682" w:rsidP="00230682">
      <w:pPr>
        <w:tabs>
          <w:tab w:val="clear" w:pos="709"/>
        </w:tabs>
        <w:suppressAutoHyphens w:val="0"/>
        <w:spacing w:after="0" w:line="360" w:lineRule="auto"/>
        <w:ind w:firstLine="90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206</w:t>
      </w:r>
    </w:p>
    <w:p w14:paraId="176C9421" w14:textId="77777777" w:rsidR="00230682" w:rsidRPr="00230682" w:rsidRDefault="00230682" w:rsidP="00230682">
      <w:pPr>
        <w:tabs>
          <w:tab w:val="clear" w:pos="709"/>
        </w:tabs>
        <w:suppressAutoHyphens w:val="0"/>
        <w:spacing w:after="0" w:line="360" w:lineRule="auto"/>
        <w:ind w:firstLine="90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210</w:t>
      </w:r>
    </w:p>
    <w:p w14:paraId="3B7B7A66" w14:textId="77777777" w:rsidR="00230682" w:rsidRPr="00230682" w:rsidRDefault="00230682" w:rsidP="00230682">
      <w:pPr>
        <w:tabs>
          <w:tab w:val="clear" w:pos="709"/>
        </w:tabs>
        <w:suppressAutoHyphens w:val="0"/>
        <w:spacing w:after="680" w:line="360" w:lineRule="auto"/>
        <w:ind w:firstLine="480"/>
        <w:rPr>
          <w:rFonts w:ascii="Times New Roman" w:eastAsia="Times New Roman" w:hAnsi="Times New Roman" w:cs="Times New Roman"/>
          <w:color w:val="000000"/>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230</w:t>
      </w:r>
    </w:p>
    <w:p w14:paraId="487C85D2" w14:textId="77777777" w:rsidR="00230682" w:rsidRDefault="00230682" w:rsidP="00230682"/>
    <w:p w14:paraId="5720F2DD" w14:textId="77777777" w:rsidR="00230682" w:rsidRDefault="00230682" w:rsidP="00230682"/>
    <w:p w14:paraId="18FCC1B4" w14:textId="77777777" w:rsidR="00230682" w:rsidRDefault="00230682" w:rsidP="00230682"/>
    <w:p w14:paraId="310053F2" w14:textId="77777777" w:rsidR="00230682" w:rsidRPr="00230682" w:rsidRDefault="00230682" w:rsidP="00230682">
      <w:pPr>
        <w:keepNext/>
        <w:keepLines/>
        <w:tabs>
          <w:tab w:val="clear" w:pos="709"/>
        </w:tabs>
        <w:suppressAutoHyphens w:val="0"/>
        <w:spacing w:after="0" w:line="360" w:lineRule="auto"/>
        <w:ind w:firstLine="0"/>
        <w:jc w:val="center"/>
        <w:outlineLvl w:val="3"/>
        <w:rPr>
          <w:rFonts w:ascii="Times New Roman" w:eastAsia="Times New Roman" w:hAnsi="Times New Roman" w:cs="Times New Roman"/>
          <w:b/>
          <w:bCs/>
          <w:kern w:val="0"/>
          <w:sz w:val="28"/>
          <w:szCs w:val="28"/>
          <w:lang w:val="uk-UA" w:eastAsia="uk-UA" w:bidi="uk-UA"/>
        </w:rPr>
      </w:pPr>
      <w:bookmarkStart w:id="2" w:name="bookmark44"/>
      <w:r w:rsidRPr="00230682">
        <w:rPr>
          <w:rFonts w:ascii="Times New Roman" w:eastAsia="Times New Roman" w:hAnsi="Times New Roman" w:cs="Times New Roman"/>
          <w:b/>
          <w:bCs/>
          <w:color w:val="000000"/>
          <w:kern w:val="0"/>
          <w:sz w:val="28"/>
          <w:szCs w:val="28"/>
          <w:lang w:val="uk-UA" w:eastAsia="uk-UA" w:bidi="uk-UA"/>
        </w:rPr>
        <w:t>ЗАГАЛЬНІ ВИСНОВКИ</w:t>
      </w:r>
      <w:bookmarkEnd w:id="2"/>
    </w:p>
    <w:p w14:paraId="74A13EFB" w14:textId="77777777" w:rsidR="00230682" w:rsidRPr="00230682" w:rsidRDefault="00230682" w:rsidP="00230682">
      <w:pPr>
        <w:numPr>
          <w:ilvl w:val="0"/>
          <w:numId w:val="29"/>
        </w:numPr>
        <w:tabs>
          <w:tab w:val="clear" w:pos="709"/>
          <w:tab w:val="left" w:pos="1042"/>
        </w:tabs>
        <w:suppressAutoHyphens w:val="0"/>
        <w:spacing w:after="0" w:line="360" w:lineRule="auto"/>
        <w:ind w:firstLine="720"/>
        <w:jc w:val="left"/>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Аналіз філософської, психологічної та педагогічної літератури дозволив визначити наступність як: об’єктивну закономірність, що забезпечує розвиток на основі збереження й перенесення найістотніших елементів старого на новий, вищий щабель задля подальшого удосконалення (філософський аспект); умова організованого, цілеспрямованого педагогічного процесу, коли відбувається ефективна взаємодія між зонами найближчого та актуального розвитку особистості (психологічний аспект); принцип дидактики, у відповідності з яким знання, уміння й навички повинні формуватись у певному порядку; коли кожен наступний елемент навчального матеріалу взаємопов’язується з попереднім, опирається на нього й готує до засвоєння нового (педагогічний аспект).</w:t>
      </w:r>
    </w:p>
    <w:p w14:paraId="68FA1BBE" w14:textId="77777777" w:rsidR="00230682" w:rsidRPr="00230682" w:rsidRDefault="00230682" w:rsidP="0023068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lastRenderedPageBreak/>
        <w:t>Наступність фортепіанного навчання варто розглядати як складний, безперервний, цілісний процес передачі і засвоєння знань, умінь, навичок і способів гри на фортепіано у логічній системності та послідовності, на різних ступенях навчання, зокрема в системі «музична школа - коледж - педагогічний вуз». Забезпечення наступності фортепіанного навчання реалізується шляхом взаємозв’язку, узгодження та поступового ускладнення змісту навчальних планів і програм усіх ланок музичної освіти з метою формування виконавської компетентності студентів вищих педагогічних навчальних закладів.</w:t>
      </w:r>
    </w:p>
    <w:p w14:paraId="5E072BE7" w14:textId="77777777" w:rsidR="00230682" w:rsidRPr="00230682" w:rsidRDefault="00230682" w:rsidP="00230682">
      <w:pPr>
        <w:numPr>
          <w:ilvl w:val="0"/>
          <w:numId w:val="29"/>
        </w:numPr>
        <w:tabs>
          <w:tab w:val="clear" w:pos="709"/>
          <w:tab w:val="left" w:pos="1038"/>
          <w:tab w:val="left" w:pos="7709"/>
        </w:tabs>
        <w:suppressAutoHyphens w:val="0"/>
        <w:spacing w:after="0" w:line="360" w:lineRule="auto"/>
        <w:ind w:firstLine="720"/>
        <w:jc w:val="left"/>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Структурними компонентами означеної наступності визнано мотиваційно-емоційний компонент (грунтується на емоційному сприйнятті навчально-виконавської діяльності, насичення цієї діяльності професійно орієнтованим змістом), ціннісно-творчий компонент</w:t>
      </w:r>
      <w:r w:rsidRPr="00230682">
        <w:rPr>
          <w:rFonts w:ascii="Times New Roman" w:eastAsia="Times New Roman" w:hAnsi="Times New Roman" w:cs="Times New Roman"/>
          <w:color w:val="000000"/>
          <w:kern w:val="0"/>
          <w:sz w:val="28"/>
          <w:szCs w:val="28"/>
          <w:lang w:val="uk-UA" w:eastAsia="uk-UA" w:bidi="uk-UA"/>
        </w:rPr>
        <w:tab/>
      </w:r>
      <w:r w:rsidRPr="00230682">
        <w:rPr>
          <w:rFonts w:ascii="Times New Roman" w:eastAsia="Times New Roman" w:hAnsi="Times New Roman" w:cs="Times New Roman"/>
          <w:b/>
          <w:bCs/>
          <w:color w:val="000000"/>
          <w:kern w:val="0"/>
          <w:sz w:val="28"/>
          <w:szCs w:val="28"/>
          <w:lang w:val="uk-UA" w:eastAsia="uk-UA" w:bidi="uk-UA"/>
        </w:rPr>
        <w:t>(</w:t>
      </w:r>
      <w:r w:rsidRPr="00230682">
        <w:rPr>
          <w:rFonts w:ascii="Times New Roman" w:eastAsia="Times New Roman" w:hAnsi="Times New Roman" w:cs="Times New Roman"/>
          <w:color w:val="000000"/>
          <w:kern w:val="0"/>
          <w:sz w:val="28"/>
          <w:szCs w:val="28"/>
          <w:lang w:val="uk-UA" w:eastAsia="uk-UA" w:bidi="uk-UA"/>
        </w:rPr>
        <w:t>забезпечується</w:t>
      </w:r>
    </w:p>
    <w:p w14:paraId="542C1BA0" w14:textId="77777777" w:rsidR="00230682" w:rsidRPr="00230682" w:rsidRDefault="00230682" w:rsidP="0023068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спрямованістю на творчий розвиток у фортепіанному навчанні, ціннісним ставленням до майбутньої професії</w:t>
      </w:r>
      <w:r w:rsidRPr="00230682">
        <w:rPr>
          <w:rFonts w:ascii="Times New Roman" w:eastAsia="Times New Roman" w:hAnsi="Times New Roman" w:cs="Times New Roman"/>
          <w:b/>
          <w:bCs/>
          <w:color w:val="000000"/>
          <w:kern w:val="0"/>
          <w:sz w:val="28"/>
          <w:szCs w:val="28"/>
          <w:lang w:val="uk-UA" w:eastAsia="uk-UA" w:bidi="uk-UA"/>
        </w:rPr>
        <w:t xml:space="preserve">) </w:t>
      </w:r>
      <w:r w:rsidRPr="00230682">
        <w:rPr>
          <w:rFonts w:ascii="Times New Roman" w:eastAsia="Times New Roman" w:hAnsi="Times New Roman" w:cs="Times New Roman"/>
          <w:color w:val="000000"/>
          <w:kern w:val="0"/>
          <w:sz w:val="28"/>
          <w:szCs w:val="28"/>
          <w:lang w:val="uk-UA" w:eastAsia="uk-UA" w:bidi="uk-UA"/>
        </w:rPr>
        <w:t>та рефлексивно-діяльнісний компонент (формується через усвідомлення студентами важливості фортепіанного навчання, залучення їх до групових обговорень виконавських інтерпретацій, через стимуляцію студентів реалізувати одержані знання й уміння у практичній роботі з учнями під час педагогічної практики).</w:t>
      </w:r>
    </w:p>
    <w:p w14:paraId="3B2CB9BE" w14:textId="77777777" w:rsidR="00230682" w:rsidRPr="00230682" w:rsidRDefault="00230682" w:rsidP="00230682">
      <w:pPr>
        <w:numPr>
          <w:ilvl w:val="0"/>
          <w:numId w:val="29"/>
        </w:numPr>
        <w:tabs>
          <w:tab w:val="clear" w:pos="709"/>
          <w:tab w:val="left" w:pos="1038"/>
        </w:tabs>
        <w:suppressAutoHyphens w:val="0"/>
        <w:spacing w:after="0" w:line="360" w:lineRule="auto"/>
        <w:ind w:firstLine="740"/>
        <w:jc w:val="left"/>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Розроблено діагностичну методику, що дозволяє встановити характер і причини виникнення проблем із забезпечення наступності фортепіанного навчання студентів з Китаю та їх вплив на формування виконавської компетентності студентів в системі музично-педагогічної освіти України.</w:t>
      </w:r>
    </w:p>
    <w:p w14:paraId="3DDE8816" w14:textId="77777777" w:rsidR="00230682" w:rsidRPr="00230682" w:rsidRDefault="00230682" w:rsidP="00230682">
      <w:pPr>
        <w:tabs>
          <w:tab w:val="clear" w:pos="709"/>
        </w:tabs>
        <w:suppressAutoHyphens w:val="0"/>
        <w:spacing w:after="0" w:line="360" w:lineRule="auto"/>
        <w:ind w:firstLine="74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 xml:space="preserve">Відповідно до визначених компонентів виокремлено критерії, котрі конкретизовано в показниках: мотиваційний критерій (наявність інтересу до фортепіанного навчання, захопленість та наполегливість у подоланні труднощів під час вивчення музичних творів; прояв емоційного збудження під час музикування за фортепіано), творчий критерій (ціннісне ставлення до майбутньої професії, здатність до творчого застосування виконавських знань, умінь і навичок, пріоритетність вибору нестандартних форм педагогічної діяльності); діяльнісний критерій (наявність вмінь контролювати та аналізувати процес фортепіанного навчання, </w:t>
      </w:r>
      <w:r w:rsidRPr="00230682">
        <w:rPr>
          <w:rFonts w:ascii="Times New Roman" w:eastAsia="Times New Roman" w:hAnsi="Times New Roman" w:cs="Times New Roman"/>
          <w:color w:val="000000"/>
          <w:kern w:val="0"/>
          <w:sz w:val="28"/>
          <w:szCs w:val="28"/>
          <w:lang w:val="uk-UA" w:eastAsia="uk-UA" w:bidi="uk-UA"/>
        </w:rPr>
        <w:lastRenderedPageBreak/>
        <w:t>прагнення до виконавського вдосконалення та самореалізації у професійній діяльності).</w:t>
      </w:r>
    </w:p>
    <w:p w14:paraId="1D179A92" w14:textId="77777777" w:rsidR="00230682" w:rsidRPr="00230682" w:rsidRDefault="00230682" w:rsidP="00230682">
      <w:pPr>
        <w:tabs>
          <w:tab w:val="clear" w:pos="709"/>
          <w:tab w:val="left" w:pos="6163"/>
        </w:tabs>
        <w:suppressAutoHyphens w:val="0"/>
        <w:spacing w:after="0" w:line="360" w:lineRule="auto"/>
        <w:ind w:firstLine="74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Визначено й охарактеризовано рівні виконавської компетентності майбутніх вчителів музичного мистецтва:</w:t>
      </w:r>
      <w:r w:rsidRPr="00230682">
        <w:rPr>
          <w:rFonts w:ascii="Times New Roman" w:eastAsia="Times New Roman" w:hAnsi="Times New Roman" w:cs="Times New Roman"/>
          <w:color w:val="000000"/>
          <w:kern w:val="0"/>
          <w:sz w:val="28"/>
          <w:szCs w:val="28"/>
          <w:lang w:val="uk-UA" w:eastAsia="uk-UA" w:bidi="uk-UA"/>
        </w:rPr>
        <w:tab/>
        <w:t>компетентісний (високий),</w:t>
      </w:r>
    </w:p>
    <w:p w14:paraId="2D91A011" w14:textId="77777777" w:rsidR="00230682" w:rsidRPr="00230682" w:rsidRDefault="00230682" w:rsidP="0023068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репродуктивний (середній), фрагментарний (низький). Результати діагностичного вивчення забезпечення наступності фортепіанного навчання студентів з КНР в системі музично-педагогічної освіти України засвідчили недостатній рівень сформованості виконавської компетентності студентів (зафіксовано домінування репродуктивного (46,%) та фрагментарного (42,5%) рівнів, що свідчить про непідготовленість опитьуваних до здійснення виконавської діяльності в школі.</w:t>
      </w:r>
    </w:p>
    <w:p w14:paraId="46B67B86" w14:textId="77777777" w:rsidR="00230682" w:rsidRPr="00230682" w:rsidRDefault="00230682" w:rsidP="00230682">
      <w:pPr>
        <w:numPr>
          <w:ilvl w:val="0"/>
          <w:numId w:val="29"/>
        </w:numPr>
        <w:tabs>
          <w:tab w:val="clear" w:pos="709"/>
          <w:tab w:val="left" w:pos="1033"/>
        </w:tabs>
        <w:suppressAutoHyphens w:val="0"/>
        <w:spacing w:after="0" w:line="360" w:lineRule="auto"/>
        <w:ind w:firstLine="740"/>
        <w:jc w:val="left"/>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Обгрунтовано педагогічні умови, що забезпечують процес наступності фортепіанного навчання студентів з КНР в системі музично-педагогічної освіти України: стимулювання інтересу до музичного виконавства, інтеграційної спрямованості фортепіанного навчання, варіативності форм і методів навчання, використання вітчизняного і зарубіжного досвіду фортепіанного навчання. Визначено спеціальні принципи</w:t>
      </w:r>
      <w:r w:rsidRPr="00230682">
        <w:rPr>
          <w:rFonts w:ascii="Times New Roman" w:eastAsia="Times New Roman" w:hAnsi="Times New Roman" w:cs="Times New Roman"/>
          <w:b/>
          <w:bCs/>
          <w:color w:val="000000"/>
          <w:kern w:val="0"/>
          <w:sz w:val="28"/>
          <w:szCs w:val="28"/>
          <w:lang w:val="uk-UA" w:eastAsia="uk-UA" w:bidi="uk-UA"/>
        </w:rPr>
        <w:t xml:space="preserve">, </w:t>
      </w:r>
      <w:r w:rsidRPr="00230682">
        <w:rPr>
          <w:rFonts w:ascii="Times New Roman" w:eastAsia="Times New Roman" w:hAnsi="Times New Roman" w:cs="Times New Roman"/>
          <w:color w:val="000000"/>
          <w:kern w:val="0"/>
          <w:sz w:val="28"/>
          <w:szCs w:val="28"/>
          <w:lang w:val="uk-UA" w:eastAsia="uk-UA" w:bidi="uk-UA"/>
        </w:rPr>
        <w:t>спрямовані на формування виконавської компетентності студентів: принцип виконавської мобільності, принцип взаємозв’язку навчального процесу і концертної діяльності студентів, принцип виконавської самореалізації; принцип адаптації.</w:t>
      </w:r>
    </w:p>
    <w:p w14:paraId="61ADAB3B" w14:textId="77777777" w:rsidR="00230682" w:rsidRPr="00230682" w:rsidRDefault="00230682" w:rsidP="0023068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Розроблено експериментальну модель наступності фортепіанного навчання студентів з Китаю в системі музично-педагогічної освіти України, яка дозволила більш виразно представити наукову проблему, об’єднати теоретичне й емпіричне в педагогічному дослідженні, з’ясувати найбільш суттєві риси експериментальної методики фортепіанного навчання, спроектувати результат. Модель включає такі складники: методологічно-цільовий - містить мету, завдання, наукові підходи та принципи навчання; процесуально-змістовий - включає форми, методи і репертуар (інструктивний, поліфонічні твори, крупна форма, п’єси) фортепіанного навчання та передагогічні умови їх реалізації; структурно-результативний - становлять компоненти, критерії та рівні сформованості виконавської компетентності студентів</w:t>
      </w:r>
      <w:r w:rsidRPr="00230682">
        <w:rPr>
          <w:rFonts w:ascii="Times New Roman" w:eastAsia="Times New Roman" w:hAnsi="Times New Roman" w:cs="Times New Roman"/>
          <w:b/>
          <w:bCs/>
          <w:color w:val="000000"/>
          <w:kern w:val="0"/>
          <w:sz w:val="28"/>
          <w:szCs w:val="28"/>
          <w:lang w:val="uk-UA" w:eastAsia="uk-UA" w:bidi="uk-UA"/>
        </w:rPr>
        <w:t>.</w:t>
      </w:r>
    </w:p>
    <w:p w14:paraId="5E8ED152" w14:textId="77777777" w:rsidR="00230682" w:rsidRPr="00230682" w:rsidRDefault="00230682" w:rsidP="00230682">
      <w:pPr>
        <w:numPr>
          <w:ilvl w:val="0"/>
          <w:numId w:val="29"/>
        </w:numPr>
        <w:tabs>
          <w:tab w:val="clear" w:pos="709"/>
          <w:tab w:val="left" w:pos="1038"/>
        </w:tabs>
        <w:suppressAutoHyphens w:val="0"/>
        <w:spacing w:after="0" w:line="360" w:lineRule="auto"/>
        <w:ind w:firstLine="720"/>
        <w:jc w:val="left"/>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lastRenderedPageBreak/>
        <w:t>У процесі експериментального дослідження розроблено та експериментально перевірено методику наступності фортепіанного навчання, спрямовану на підвищення рівня виконавської компетентності студентів з КНР, в якій спільне функціонування усіх елементів характеризується гармонійним поєднанням: педагогічної взаємодії, об’єктивних і суб’єктивних факторів впливу на особистість, загально-педагогічних та спеціальних принципів навчання, педагогічних умов, засобів, форм і методів навчання. Відповідно до представленої методики, формування виконавської компетентності студентів здійснюється впродовж трьох етапів: змістово-орієнтаційного, активно- когнітивного та операційно-практичного.</w:t>
      </w:r>
    </w:p>
    <w:p w14:paraId="28011D4B" w14:textId="77777777" w:rsidR="00230682" w:rsidRPr="00230682" w:rsidRDefault="00230682" w:rsidP="0023068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Аналіз одержаних у процесі експериментальної перевірки результатів виявив позитивну динаміку формування виконавської компетентності студентів. Ця підтверджується зіставленням результатів контрольної та експериментальної</w:t>
      </w:r>
    </w:p>
    <w:p w14:paraId="4DCD8C4E" w14:textId="77777777" w:rsidR="00230682" w:rsidRPr="00230682" w:rsidRDefault="00230682" w:rsidP="00230682">
      <w:pPr>
        <w:tabs>
          <w:tab w:val="clear" w:pos="709"/>
          <w:tab w:val="left" w:pos="629"/>
        </w:tabs>
        <w:suppressAutoHyphens w:val="0"/>
        <w:spacing w:after="0" w:line="360" w:lineRule="auto"/>
        <w:ind w:firstLine="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груп, а також обробкою кількісних показників, одержаних у результаті виконання контрольних завдань наприкінці кожного етапу та узагальнення даних. Зокрема, збільшилась кількість студентів з компетентісним рівнем (від 9,8</w:t>
      </w:r>
      <w:r w:rsidRPr="00230682">
        <w:rPr>
          <w:rFonts w:ascii="Times New Roman" w:eastAsia="Times New Roman" w:hAnsi="Times New Roman" w:cs="Times New Roman"/>
          <w:color w:val="000000"/>
          <w:kern w:val="0"/>
          <w:sz w:val="28"/>
          <w:szCs w:val="28"/>
          <w:lang w:val="uk-UA" w:eastAsia="uk-UA" w:bidi="uk-UA"/>
        </w:rPr>
        <w:tab/>
        <w:t>% до 41,4%), натомість значно зменшилась кількістьстудентів з</w:t>
      </w:r>
    </w:p>
    <w:p w14:paraId="618C5FCE" w14:textId="77777777" w:rsidR="00230682" w:rsidRPr="00230682" w:rsidRDefault="00230682" w:rsidP="0023068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bidi="uk-UA"/>
        </w:rPr>
      </w:pPr>
      <w:r w:rsidRPr="00230682">
        <w:rPr>
          <w:rFonts w:ascii="Times New Roman" w:eastAsia="Times New Roman" w:hAnsi="Times New Roman" w:cs="Times New Roman"/>
          <w:color w:val="000000"/>
          <w:kern w:val="0"/>
          <w:sz w:val="28"/>
          <w:szCs w:val="28"/>
          <w:lang w:val="uk-UA" w:eastAsia="uk-UA" w:bidi="uk-UA"/>
        </w:rPr>
        <w:t>фрагментарним рівнем (від 56,1% до 8,2 %) виконавської компетентності. Таким чином, упровадження запропонованої методики сприятиме значному поліпшенню фортепіанного навчання студентів з Китаю в системі музично- педагогічної освіти України.</w:t>
      </w:r>
    </w:p>
    <w:p w14:paraId="1457F817" w14:textId="61444903" w:rsidR="00230682" w:rsidRPr="00230682" w:rsidRDefault="00230682" w:rsidP="00230682">
      <w:pPr>
        <w:rPr>
          <w:lang w:val="uk-UA"/>
        </w:rPr>
      </w:pPr>
      <w:r w:rsidRPr="00230682">
        <w:rPr>
          <w:rFonts w:ascii="Courier New" w:hAnsi="Courier New"/>
          <w:color w:val="000000"/>
          <w:kern w:val="0"/>
          <w:sz w:val="24"/>
          <w:szCs w:val="24"/>
          <w:lang w:val="uk-UA" w:eastAsia="uk-UA" w:bidi="uk-UA"/>
        </w:rPr>
        <w:t>Проведене дослідження не вичерпує всіх аспектів порушеної проблеми. Подальшого вивчення потребують питання індивідуального підходу в процесі фортепіанного навчання; оновлення змісту музично-виконавських дисциплін відповідно до сучасних вимог, а також удосконалення методики фортепіанногшо навчання на основі використання найсучасніших інноваційних технологій освіти</w:t>
      </w:r>
    </w:p>
    <w:sectPr w:rsidR="00230682" w:rsidRPr="00230682" w:rsidSect="004B11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3B99" w14:textId="77777777" w:rsidR="004B11EF" w:rsidRDefault="004B11EF">
      <w:pPr>
        <w:spacing w:after="0" w:line="240" w:lineRule="auto"/>
      </w:pPr>
      <w:r>
        <w:separator/>
      </w:r>
    </w:p>
  </w:endnote>
  <w:endnote w:type="continuationSeparator" w:id="0">
    <w:p w14:paraId="666D574A" w14:textId="77777777" w:rsidR="004B11EF" w:rsidRDefault="004B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C793" w14:textId="77777777" w:rsidR="004B11EF" w:rsidRDefault="004B11EF"/>
    <w:p w14:paraId="1F7F3DDA" w14:textId="77777777" w:rsidR="004B11EF" w:rsidRDefault="004B11EF"/>
    <w:p w14:paraId="6F7499CD" w14:textId="77777777" w:rsidR="004B11EF" w:rsidRDefault="004B11EF"/>
    <w:p w14:paraId="673D43DB" w14:textId="77777777" w:rsidR="004B11EF" w:rsidRDefault="004B11EF"/>
    <w:p w14:paraId="34612876" w14:textId="77777777" w:rsidR="004B11EF" w:rsidRDefault="004B11EF"/>
    <w:p w14:paraId="0E5A1308" w14:textId="77777777" w:rsidR="004B11EF" w:rsidRDefault="004B11EF"/>
    <w:p w14:paraId="3098DD6B" w14:textId="77777777" w:rsidR="004B11EF" w:rsidRDefault="004B11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8F088F" wp14:editId="484843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1C682" w14:textId="77777777" w:rsidR="004B11EF" w:rsidRDefault="004B1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F08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81C682" w14:textId="77777777" w:rsidR="004B11EF" w:rsidRDefault="004B1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731E98" w14:textId="77777777" w:rsidR="004B11EF" w:rsidRDefault="004B11EF"/>
    <w:p w14:paraId="2269AD6C" w14:textId="77777777" w:rsidR="004B11EF" w:rsidRDefault="004B11EF"/>
    <w:p w14:paraId="4B2ED9FB" w14:textId="77777777" w:rsidR="004B11EF" w:rsidRDefault="004B11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2280B" wp14:editId="45D6FD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DE3C" w14:textId="77777777" w:rsidR="004B11EF" w:rsidRDefault="004B11EF"/>
                          <w:p w14:paraId="6DE86535" w14:textId="77777777" w:rsidR="004B11EF" w:rsidRDefault="004B1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228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E6DE3C" w14:textId="77777777" w:rsidR="004B11EF" w:rsidRDefault="004B11EF"/>
                    <w:p w14:paraId="6DE86535" w14:textId="77777777" w:rsidR="004B11EF" w:rsidRDefault="004B1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6D528A" w14:textId="77777777" w:rsidR="004B11EF" w:rsidRDefault="004B11EF"/>
    <w:p w14:paraId="0004689B" w14:textId="77777777" w:rsidR="004B11EF" w:rsidRDefault="004B11EF">
      <w:pPr>
        <w:rPr>
          <w:sz w:val="2"/>
          <w:szCs w:val="2"/>
        </w:rPr>
      </w:pPr>
    </w:p>
    <w:p w14:paraId="442DA813" w14:textId="77777777" w:rsidR="004B11EF" w:rsidRDefault="004B11EF"/>
    <w:p w14:paraId="2695A95C" w14:textId="77777777" w:rsidR="004B11EF" w:rsidRDefault="004B11EF">
      <w:pPr>
        <w:spacing w:after="0" w:line="240" w:lineRule="auto"/>
      </w:pPr>
    </w:p>
  </w:footnote>
  <w:footnote w:type="continuationSeparator" w:id="0">
    <w:p w14:paraId="4BFADAA8" w14:textId="77777777" w:rsidR="004B11EF" w:rsidRDefault="004B1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8"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0"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4"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0"/>
  </w:num>
  <w:num w:numId="9" w16cid:durableId="2024671268">
    <w:abstractNumId w:val="97"/>
  </w:num>
  <w:num w:numId="10" w16cid:durableId="21903147">
    <w:abstractNumId w:val="91"/>
  </w:num>
  <w:num w:numId="11" w16cid:durableId="251744190">
    <w:abstractNumId w:val="102"/>
  </w:num>
  <w:num w:numId="12" w16cid:durableId="2126458907">
    <w:abstractNumId w:val="92"/>
  </w:num>
  <w:num w:numId="13" w16cid:durableId="862860886">
    <w:abstractNumId w:val="99"/>
  </w:num>
  <w:num w:numId="14" w16cid:durableId="428545077">
    <w:abstractNumId w:val="10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59"/>
  </w:num>
  <w:num w:numId="20" w16cid:durableId="700591667">
    <w:abstractNumId w:val="28"/>
  </w:num>
  <w:num w:numId="21" w16cid:durableId="760562153">
    <w:abstractNumId w:val="11"/>
  </w:num>
  <w:num w:numId="22" w16cid:durableId="1165246207">
    <w:abstractNumId w:val="12"/>
  </w:num>
  <w:num w:numId="23" w16cid:durableId="2008362079">
    <w:abstractNumId w:val="40"/>
  </w:num>
  <w:num w:numId="24" w16cid:durableId="111095930">
    <w:abstractNumId w:val="41"/>
  </w:num>
  <w:num w:numId="25" w16cid:durableId="1256129057">
    <w:abstractNumId w:val="34"/>
  </w:num>
  <w:num w:numId="26" w16cid:durableId="558518234">
    <w:abstractNumId w:val="98"/>
  </w:num>
  <w:num w:numId="27" w16cid:durableId="1417482559">
    <w:abstractNumId w:val="95"/>
  </w:num>
  <w:num w:numId="28" w16cid:durableId="244609770">
    <w:abstractNumId w:val="103"/>
  </w:num>
  <w:num w:numId="29" w16cid:durableId="541749165">
    <w:abstractNumId w:val="9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1EF"/>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13359</TotalTime>
  <Pages>6</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372</cp:revision>
  <cp:lastPrinted>2009-02-06T05:36:00Z</cp:lastPrinted>
  <dcterms:created xsi:type="dcterms:W3CDTF">2023-09-07T12:38:00Z</dcterms:created>
  <dcterms:modified xsi:type="dcterms:W3CDTF">2024-01-05T15:24:00Z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