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9A69" w14:textId="079A77B5" w:rsidR="00B06E33" w:rsidRDefault="006A0D8A" w:rsidP="006A0D8A">
      <w:pPr>
        <w:rPr>
          <w:rFonts w:ascii="Verdana" w:hAnsi="Verdana"/>
          <w:b/>
          <w:bCs/>
          <w:color w:val="000000"/>
          <w:shd w:val="clear" w:color="auto" w:fill="FFFFFF"/>
        </w:rPr>
      </w:pPr>
      <w:r>
        <w:rPr>
          <w:rFonts w:ascii="Verdana" w:hAnsi="Verdana"/>
          <w:b/>
          <w:bCs/>
          <w:color w:val="000000"/>
          <w:shd w:val="clear" w:color="auto" w:fill="FFFFFF"/>
        </w:rPr>
        <w:t xml:space="preserve">Чемодуров Олександр Михайлович. Інвестиційні ризики корпоративних цінних паперів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0D8A" w:rsidRPr="006A0D8A" w14:paraId="5D3091AA" w14:textId="77777777" w:rsidTr="006A0D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0D8A" w:rsidRPr="006A0D8A" w14:paraId="15DDBCC4" w14:textId="77777777">
              <w:trPr>
                <w:tblCellSpacing w:w="0" w:type="dxa"/>
              </w:trPr>
              <w:tc>
                <w:tcPr>
                  <w:tcW w:w="0" w:type="auto"/>
                  <w:vAlign w:val="center"/>
                  <w:hideMark/>
                </w:tcPr>
                <w:p w14:paraId="3897EB4C"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b/>
                      <w:bCs/>
                      <w:sz w:val="24"/>
                      <w:szCs w:val="24"/>
                    </w:rPr>
                    <w:lastRenderedPageBreak/>
                    <w:t>Чемодуров О.М. Інвестиційні ризики корпоративних цінних паперів </w:t>
                  </w:r>
                  <w:r w:rsidRPr="006A0D8A">
                    <w:rPr>
                      <w:rFonts w:ascii="Times New Roman" w:eastAsia="Times New Roman" w:hAnsi="Times New Roman" w:cs="Times New Roman"/>
                      <w:sz w:val="24"/>
                      <w:szCs w:val="24"/>
                    </w:rPr>
                    <w:t>– Рукопис.</w:t>
                  </w:r>
                </w:p>
                <w:p w14:paraId="372A9E79"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ДУ „Інститут економіки та прогнозування НАН України”, Київ, 2007.</w:t>
                  </w:r>
                </w:p>
                <w:p w14:paraId="790E55F4"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У дисертації наведено теоретичне обґрунтування основних напрямів реалізації державної інвестиційно-інноваційної політики на фондовому ринку та конкретних пропозицій щодо їх реалізації. Розв’язано важливу наукову проблему оцінки аналізованої облігації в умовах функціонування українського ринку цінних паперів, коли пошук облігації з аналогічним рівнем ризику, яка вже об’єктивно оцінена ринком, істотно ускладнений. В роботі здійснено також теоретичне обґрунтування і оцінку диверсифікаційного потенціалу українських цінних паперів при їх включенні до портфелів інвесторів з розвинутих країн.</w:t>
                  </w:r>
                </w:p>
                <w:p w14:paraId="36047537"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Розв’язання зазначених наукових проблем і аналіз стану національного фондового ринку та джерел фінансових ресурсів стали базою для досягнення поставленої мети дослідження – обґрунтування пропозицій, спрямованих на підвищення ефективності реалізації інвестиційно-інноваційної політики держави щодо:</w:t>
                  </w:r>
                </w:p>
                <w:p w14:paraId="64119752"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залучення вивезених капіталів у реальний сектор економіки України;</w:t>
                  </w:r>
                </w:p>
                <w:p w14:paraId="11E7048D"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зниження інвестиційних ризиків вкладень в українські цінні папери (в першу чергу – підвищення їх ліквідності та зниження кредитного ризику);</w:t>
                  </w:r>
                </w:p>
                <w:p w14:paraId="66A64DF1"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використання диверсифікаційного потенціалу українських цінних паперів, який реалізується при їх включенні до портфелів іноземних інвесторів.</w:t>
                  </w:r>
                </w:p>
                <w:p w14:paraId="150903A6"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На основі аналізу існуючої методології оцінки облігацій та їх портфелів обґрунтовано пропозиції щодо вдосконалення моделі формування ціни облігації з урахуванням її ризикованості, визначення економічної сутності показника дюрації, а також формування оптимального портфеля облігацій.</w:t>
                  </w:r>
                </w:p>
              </w:tc>
            </w:tr>
          </w:tbl>
          <w:p w14:paraId="769F6D49" w14:textId="77777777" w:rsidR="006A0D8A" w:rsidRPr="006A0D8A" w:rsidRDefault="006A0D8A" w:rsidP="006A0D8A">
            <w:pPr>
              <w:spacing w:after="0" w:line="240" w:lineRule="auto"/>
              <w:rPr>
                <w:rFonts w:ascii="Times New Roman" w:eastAsia="Times New Roman" w:hAnsi="Times New Roman" w:cs="Times New Roman"/>
                <w:sz w:val="24"/>
                <w:szCs w:val="24"/>
              </w:rPr>
            </w:pPr>
          </w:p>
        </w:tc>
      </w:tr>
      <w:tr w:rsidR="006A0D8A" w:rsidRPr="006A0D8A" w14:paraId="04931B22" w14:textId="77777777" w:rsidTr="006A0D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0D8A" w:rsidRPr="006A0D8A" w14:paraId="3FA36E9B" w14:textId="77777777">
              <w:trPr>
                <w:tblCellSpacing w:w="0" w:type="dxa"/>
              </w:trPr>
              <w:tc>
                <w:tcPr>
                  <w:tcW w:w="0" w:type="auto"/>
                  <w:vAlign w:val="center"/>
                  <w:hideMark/>
                </w:tcPr>
                <w:p w14:paraId="2B51023F"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У дисертації наведено теоретичне обґрунтування основних напрямів державної інвестиційно-інноваційної політики на фондовому ринку та конкретних пропозицій щодо її реалізації. Розв’язано важливу наукову проблему оцінки аналізованої облігації в умовах функціонування українського ринку цінних паперів, коли пошук облігації з аналогічним рівнем ризику, яка вже об’єктивно оцінена ринком, істотно ускладнений. В роботі також здійснено теоретичне обґрунтування і оцінку диверсіфікаційного потенціалу українських цінних паперів при їх включенні до портфелів інвесторів з розвинутих країн.</w:t>
                  </w:r>
                </w:p>
                <w:p w14:paraId="5DCFFC68"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Розв’язання зазначених наукових проблем і проведений аналіз стану національного ринку цінних паперів стали базою для розробки пропозицій, спрямованих на підвищення ефективності залучення інвестицій для фінансування інноваційної діяльності українських підприємств шляхом розширення джерел надходження фінансових ресурсів, удосконалення національного фондового ринку, зниження ризиків вкладень в українські цінні папери та використання їх диверсіфікаційного потенціалу.</w:t>
                  </w:r>
                </w:p>
                <w:p w14:paraId="0F13139A"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lastRenderedPageBreak/>
                    <w:t>Основні наукові та практичні результати роботи полягають у такому.</w:t>
                  </w:r>
                </w:p>
                <w:p w14:paraId="69E3AB0C"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1. Систематизовано взаємопов’язані фактори забезпечення фінансування інвестиційно-інноваційної діяльності підприємств в умовах наявності інвестиційних ризиків: джерела фінансових ресурсів, механізми та інструменти їх залучення і умови, за яких таке залучення відбудеться. Визначено сутність і природу виникнення інвестиційних ризиків та чільне місце серед них кредитного ризику і ризику ліквідності.</w:t>
                  </w:r>
                </w:p>
                <w:p w14:paraId="5E25DCB9"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2. Теоретично обґрунтовано</w:t>
                  </w:r>
                  <w:r w:rsidRPr="006A0D8A">
                    <w:rPr>
                      <w:rFonts w:ascii="Times New Roman" w:eastAsia="Times New Roman" w:hAnsi="Times New Roman" w:cs="Times New Roman"/>
                      <w:b/>
                      <w:bCs/>
                      <w:sz w:val="24"/>
                      <w:szCs w:val="24"/>
                    </w:rPr>
                    <w:t> </w:t>
                  </w:r>
                  <w:r w:rsidRPr="006A0D8A">
                    <w:rPr>
                      <w:rFonts w:ascii="Times New Roman" w:eastAsia="Times New Roman" w:hAnsi="Times New Roman" w:cs="Times New Roman"/>
                      <w:sz w:val="24"/>
                      <w:szCs w:val="24"/>
                    </w:rPr>
                    <w:t>метод визначення дохідності облігації, яка вимагатиметься від неї ринком, з безпосереднім урахуванням надійності емітента (імовірності дефолту) та забезпеченості облігації у разі його банкрутства. Хоча результати розрахунків потрібної дохідності запропонованим методом є лише орієнтовними, вони запроваджують певну базу для оцінювання, що сприятиме значному зменшенню амплітуди сьогоднішніх коливань ринкових цін українських облігацій, тобто суттєвому підвищенню їх ліквідності. Не менш важливою є встановлена дослідженням </w:t>
                  </w:r>
                  <w:r w:rsidRPr="006A0D8A">
                    <w:rPr>
                      <w:rFonts w:ascii="Times New Roman" w:eastAsia="Times New Roman" w:hAnsi="Times New Roman" w:cs="Times New Roman"/>
                      <w:i/>
                      <w:iCs/>
                      <w:sz w:val="24"/>
                      <w:szCs w:val="24"/>
                    </w:rPr>
                    <w:t>функціональна залежність вартості запозичень від величини</w:t>
                  </w:r>
                  <w:r w:rsidRPr="006A0D8A">
                    <w:rPr>
                      <w:rFonts w:ascii="Times New Roman" w:eastAsia="Times New Roman" w:hAnsi="Times New Roman" w:cs="Times New Roman"/>
                      <w:sz w:val="24"/>
                      <w:szCs w:val="24"/>
                    </w:rPr>
                    <w:t> </w:t>
                  </w:r>
                  <w:r w:rsidRPr="006A0D8A">
                    <w:rPr>
                      <w:rFonts w:ascii="Times New Roman" w:eastAsia="Times New Roman" w:hAnsi="Times New Roman" w:cs="Times New Roman"/>
                      <w:i/>
                      <w:iCs/>
                      <w:sz w:val="24"/>
                      <w:szCs w:val="24"/>
                    </w:rPr>
                    <w:t>кожного з показників</w:t>
                  </w:r>
                  <w:r w:rsidRPr="006A0D8A">
                    <w:rPr>
                      <w:rFonts w:ascii="Times New Roman" w:eastAsia="Times New Roman" w:hAnsi="Times New Roman" w:cs="Times New Roman"/>
                      <w:sz w:val="24"/>
                      <w:szCs w:val="24"/>
                    </w:rPr>
                    <w:t>, які характеризують ризикованість облігацій, що використано нами при обґрунтуванні напрямів державного регулювання з метою її зменшення.</w:t>
                  </w:r>
                </w:p>
                <w:p w14:paraId="6D919E97"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3. Обґрунтовано переваги включення українських цінних паперів до портфелів інвесторів з розвинутих ринків з метою зниження загального ризику цих портфелів без зменшення їх дохідності, а також пропозицію щодо використання цього </w:t>
                  </w:r>
                  <w:r w:rsidRPr="006A0D8A">
                    <w:rPr>
                      <w:rFonts w:ascii="Times New Roman" w:eastAsia="Times New Roman" w:hAnsi="Times New Roman" w:cs="Times New Roman"/>
                      <w:i/>
                      <w:iCs/>
                      <w:sz w:val="24"/>
                      <w:szCs w:val="24"/>
                    </w:rPr>
                    <w:t>диверсифікаційного потенціалу</w:t>
                  </w:r>
                  <w:r w:rsidRPr="006A0D8A">
                    <w:rPr>
                      <w:rFonts w:ascii="Times New Roman" w:eastAsia="Times New Roman" w:hAnsi="Times New Roman" w:cs="Times New Roman"/>
                      <w:sz w:val="24"/>
                      <w:szCs w:val="24"/>
                    </w:rPr>
                    <w:t> українських цінних паперів для підвищення ефективності залучення інвестицій в Україну.</w:t>
                  </w:r>
                </w:p>
                <w:p w14:paraId="067DEA97"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4. Доведено на основі результатів зазначеного в п. 2 дослідження доцільність емісії облігацій, умовно названих нами «фінансово-лізинговими». Такі облігації не передбачають виплати номіналу при погашенні за рахунок значного збільшення розміру купонних виплат. Вони мають суттєво знижений кредитний ризик, і відповідно підвищену привабливість для інвесторів, залишаючись при цьому прийнятними для багатьох українських емітентів.</w:t>
                  </w:r>
                </w:p>
                <w:p w14:paraId="279D4D57"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5. Обґрунтовано пропозиції щодо </w:t>
                  </w:r>
                  <w:r w:rsidRPr="006A0D8A">
                    <w:rPr>
                      <w:rFonts w:ascii="Times New Roman" w:eastAsia="Times New Roman" w:hAnsi="Times New Roman" w:cs="Times New Roman"/>
                      <w:i/>
                      <w:iCs/>
                      <w:sz w:val="24"/>
                      <w:szCs w:val="24"/>
                    </w:rPr>
                    <w:t>підвищення ліквідності українських цінних паперів</w:t>
                  </w:r>
                  <w:r w:rsidRPr="006A0D8A">
                    <w:rPr>
                      <w:rFonts w:ascii="Times New Roman" w:eastAsia="Times New Roman" w:hAnsi="Times New Roman" w:cs="Times New Roman"/>
                      <w:sz w:val="24"/>
                      <w:szCs w:val="24"/>
                    </w:rPr>
                    <w:t> за рахунок удосконалення </w:t>
                  </w:r>
                  <w:r w:rsidRPr="006A0D8A">
                    <w:rPr>
                      <w:rFonts w:ascii="Times New Roman" w:eastAsia="Times New Roman" w:hAnsi="Times New Roman" w:cs="Times New Roman"/>
                      <w:i/>
                      <w:iCs/>
                      <w:sz w:val="24"/>
                      <w:szCs w:val="24"/>
                    </w:rPr>
                    <w:t>рейтингування</w:t>
                  </w:r>
                  <w:r w:rsidRPr="006A0D8A">
                    <w:rPr>
                      <w:rFonts w:ascii="Times New Roman" w:eastAsia="Times New Roman" w:hAnsi="Times New Roman" w:cs="Times New Roman"/>
                      <w:sz w:val="24"/>
                      <w:szCs w:val="24"/>
                    </w:rPr>
                    <w:t>, зниження обсягів торгів на неорганізованому ринку шляхом посилення контролю держави за його учасниками та розвитку інституту дилерства.</w:t>
                  </w:r>
                </w:p>
                <w:p w14:paraId="58ACDC12"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6. Обґрунтовано на основі критичного аналізу діючої методології визначення „справедливої” ціни облігацій </w:t>
                  </w:r>
                  <w:r w:rsidRPr="006A0D8A">
                    <w:rPr>
                      <w:rFonts w:ascii="Times New Roman" w:eastAsia="Times New Roman" w:hAnsi="Times New Roman" w:cs="Times New Roman"/>
                      <w:i/>
                      <w:iCs/>
                      <w:sz w:val="24"/>
                      <w:szCs w:val="24"/>
                    </w:rPr>
                    <w:t>модель процесу формування ціни облігації</w:t>
                  </w:r>
                  <w:r w:rsidRPr="006A0D8A">
                    <w:rPr>
                      <w:rFonts w:ascii="Times New Roman" w:eastAsia="Times New Roman" w:hAnsi="Times New Roman" w:cs="Times New Roman"/>
                      <w:sz w:val="24"/>
                      <w:szCs w:val="24"/>
                    </w:rPr>
                    <w:t>, яка дозволяє, на відміну від існуючої методології, визначати ціну облігації не тільки в моменти купонних виплат, але й у будь-який момент між ними.</w:t>
                  </w:r>
                </w:p>
                <w:p w14:paraId="7A8373BB"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7. Обґрунтовано з використанням зазначеної в п. 6 моделі показник дюрації облігації з чітким економічний змістом. Якщо дюрація Маколея визначається як „</w:t>
                  </w:r>
                  <w:r w:rsidRPr="006A0D8A">
                    <w:rPr>
                      <w:rFonts w:ascii="Times New Roman" w:eastAsia="Times New Roman" w:hAnsi="Times New Roman" w:cs="Times New Roman"/>
                      <w:i/>
                      <w:iCs/>
                      <w:sz w:val="24"/>
                      <w:szCs w:val="24"/>
                    </w:rPr>
                    <w:t>середньозважений</w:t>
                  </w:r>
                  <w:r w:rsidRPr="006A0D8A">
                    <w:rPr>
                      <w:rFonts w:ascii="Times New Roman" w:eastAsia="Times New Roman" w:hAnsi="Times New Roman" w:cs="Times New Roman"/>
                      <w:sz w:val="24"/>
                      <w:szCs w:val="24"/>
                    </w:rPr>
                    <w:t> строк усіх платежів по облігації”, що має, скоріше, математичний, ніж економічний сенс, то запропонованому нами показнику притаманний чіткий економічний зміст. Він визначає строк, через який повинна бути одноразово виплачена сума всіх платежів, передбачених аналізованою облігацією, щоб облігація з такою одноразовою виплатою була </w:t>
                  </w:r>
                  <w:r w:rsidRPr="006A0D8A">
                    <w:rPr>
                      <w:rFonts w:ascii="Times New Roman" w:eastAsia="Times New Roman" w:hAnsi="Times New Roman" w:cs="Times New Roman"/>
                      <w:i/>
                      <w:iCs/>
                      <w:sz w:val="24"/>
                      <w:szCs w:val="24"/>
                    </w:rPr>
                    <w:t>рівнодохідною </w:t>
                  </w:r>
                  <w:r w:rsidRPr="006A0D8A">
                    <w:rPr>
                      <w:rFonts w:ascii="Times New Roman" w:eastAsia="Times New Roman" w:hAnsi="Times New Roman" w:cs="Times New Roman"/>
                      <w:sz w:val="24"/>
                      <w:szCs w:val="24"/>
                    </w:rPr>
                    <w:t xml:space="preserve">аналізованій. </w:t>
                  </w:r>
                  <w:r w:rsidRPr="006A0D8A">
                    <w:rPr>
                      <w:rFonts w:ascii="Times New Roman" w:eastAsia="Times New Roman" w:hAnsi="Times New Roman" w:cs="Times New Roman"/>
                      <w:sz w:val="24"/>
                      <w:szCs w:val="24"/>
                    </w:rPr>
                    <w:lastRenderedPageBreak/>
                    <w:t>Показано, що використання цього показника при імунізації портфеля облігацій до змін ринкових ставок дохідності є ефективнішим, ніж застосування показника дюрації Маколея.</w:t>
                  </w:r>
                </w:p>
                <w:p w14:paraId="1FFBBAEE"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8. Розроблено метод урахування переваг інвесторів залежно від їх індивідуального ставлення до ризиків при виборі оптимального інвестиційного портфеля шляхом використання </w:t>
                  </w:r>
                  <w:r w:rsidRPr="006A0D8A">
                    <w:rPr>
                      <w:rFonts w:ascii="Times New Roman" w:eastAsia="Times New Roman" w:hAnsi="Times New Roman" w:cs="Times New Roman"/>
                      <w:i/>
                      <w:iCs/>
                      <w:sz w:val="24"/>
                      <w:szCs w:val="24"/>
                    </w:rPr>
                    <w:t>гістограм імовірнісного розподілу результатів інвестування</w:t>
                  </w:r>
                  <w:r w:rsidRPr="006A0D8A">
                    <w:rPr>
                      <w:rFonts w:ascii="Times New Roman" w:eastAsia="Times New Roman" w:hAnsi="Times New Roman" w:cs="Times New Roman"/>
                      <w:sz w:val="24"/>
                      <w:szCs w:val="24"/>
                    </w:rPr>
                    <w:t> замість «кривих байдужості», які пропонуються існуючою методикою.</w:t>
                  </w:r>
                </w:p>
                <w:p w14:paraId="173F08D1"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9. Адаптовано методологію формування ефективних портфелів (розроблену в основному для </w:t>
                  </w:r>
                  <w:r w:rsidRPr="006A0D8A">
                    <w:rPr>
                      <w:rFonts w:ascii="Times New Roman" w:eastAsia="Times New Roman" w:hAnsi="Times New Roman" w:cs="Times New Roman"/>
                      <w:i/>
                      <w:iCs/>
                      <w:sz w:val="24"/>
                      <w:szCs w:val="24"/>
                    </w:rPr>
                    <w:t>акцій</w:t>
                  </w:r>
                  <w:r w:rsidRPr="006A0D8A">
                    <w:rPr>
                      <w:rFonts w:ascii="Times New Roman" w:eastAsia="Times New Roman" w:hAnsi="Times New Roman" w:cs="Times New Roman"/>
                      <w:sz w:val="24"/>
                      <w:szCs w:val="24"/>
                    </w:rPr>
                    <w:t>) для формування оптимальних портфелів </w:t>
                  </w:r>
                  <w:r w:rsidRPr="006A0D8A">
                    <w:rPr>
                      <w:rFonts w:ascii="Times New Roman" w:eastAsia="Times New Roman" w:hAnsi="Times New Roman" w:cs="Times New Roman"/>
                      <w:i/>
                      <w:iCs/>
                      <w:sz w:val="24"/>
                      <w:szCs w:val="24"/>
                    </w:rPr>
                    <w:t>облігацій</w:t>
                  </w:r>
                  <w:r w:rsidRPr="006A0D8A">
                    <w:rPr>
                      <w:rFonts w:ascii="Times New Roman" w:eastAsia="Times New Roman" w:hAnsi="Times New Roman" w:cs="Times New Roman"/>
                      <w:sz w:val="24"/>
                      <w:szCs w:val="24"/>
                    </w:rPr>
                    <w:t> з урахуванням їх особливостей як паперів з фіксованими доходами.</w:t>
                  </w:r>
                </w:p>
                <w:p w14:paraId="6841F0EC"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10. Запропоновану нову концепцію закону щодо залучення </w:t>
                  </w:r>
                  <w:r w:rsidRPr="006A0D8A">
                    <w:rPr>
                      <w:rFonts w:ascii="Times New Roman" w:eastAsia="Times New Roman" w:hAnsi="Times New Roman" w:cs="Times New Roman"/>
                      <w:i/>
                      <w:iCs/>
                      <w:sz w:val="24"/>
                      <w:szCs w:val="24"/>
                    </w:rPr>
                    <w:t>вивезених з України капіталів</w:t>
                  </w:r>
                  <w:r w:rsidRPr="006A0D8A">
                    <w:rPr>
                      <w:rFonts w:ascii="Times New Roman" w:eastAsia="Times New Roman" w:hAnsi="Times New Roman" w:cs="Times New Roman"/>
                      <w:sz w:val="24"/>
                      <w:szCs w:val="24"/>
                    </w:rPr>
                    <w:t> шляхом приєднання до угоди між країнами ЄС, яка передбачає оподаткування доходів від таких капіталів безпосередньо в місці їх теперішнього знаходження, з використанням при цьому двох ставок оподаткування залежно від того, інвестуються ці капітали в Україні (тоді ставка менша) чи в іншій державі.</w:t>
                  </w:r>
                </w:p>
                <w:p w14:paraId="44C47403" w14:textId="77777777" w:rsidR="006A0D8A" w:rsidRPr="006A0D8A" w:rsidRDefault="006A0D8A" w:rsidP="006A0D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0D8A">
                    <w:rPr>
                      <w:rFonts w:ascii="Times New Roman" w:eastAsia="Times New Roman" w:hAnsi="Times New Roman" w:cs="Times New Roman"/>
                      <w:sz w:val="24"/>
                      <w:szCs w:val="24"/>
                    </w:rPr>
                    <w:t>Проведене дослідження дає підстави для </w:t>
                  </w:r>
                  <w:r w:rsidRPr="006A0D8A">
                    <w:rPr>
                      <w:rFonts w:ascii="Times New Roman" w:eastAsia="Times New Roman" w:hAnsi="Times New Roman" w:cs="Times New Roman"/>
                      <w:i/>
                      <w:iCs/>
                      <w:sz w:val="24"/>
                      <w:szCs w:val="24"/>
                    </w:rPr>
                    <w:t>загального висновку</w:t>
                  </w:r>
                  <w:r w:rsidRPr="006A0D8A">
                    <w:rPr>
                      <w:rFonts w:ascii="Times New Roman" w:eastAsia="Times New Roman" w:hAnsi="Times New Roman" w:cs="Times New Roman"/>
                      <w:sz w:val="24"/>
                      <w:szCs w:val="24"/>
                    </w:rPr>
                    <w:t> про те, що в Україні існують значні потенційні можливості підвищення ефективності залучення інвестицій для фінансування інноваційної діяльності підприємств за рахунок розширення джерел фінансових ресурсів, удосконалення національного фондового ринку, суттєвого зниження інвестиційних ризиків українських цінних паперів та використання їх диверсіфікаційного потенціалу на світовому ринку. Обґрунтовані в дослідженні пропозиції щодо використання цих можливостей можуть бути реалізовані тільки за умови посилення регулюючої та контролюючої ролі держави на фондовому ринку України.</w:t>
                  </w:r>
                </w:p>
              </w:tc>
            </w:tr>
          </w:tbl>
          <w:p w14:paraId="7BD71023" w14:textId="77777777" w:rsidR="006A0D8A" w:rsidRPr="006A0D8A" w:rsidRDefault="006A0D8A" w:rsidP="006A0D8A">
            <w:pPr>
              <w:spacing w:after="0" w:line="240" w:lineRule="auto"/>
              <w:rPr>
                <w:rFonts w:ascii="Times New Roman" w:eastAsia="Times New Roman" w:hAnsi="Times New Roman" w:cs="Times New Roman"/>
                <w:sz w:val="24"/>
                <w:szCs w:val="24"/>
              </w:rPr>
            </w:pPr>
          </w:p>
        </w:tc>
      </w:tr>
    </w:tbl>
    <w:p w14:paraId="7EC88D12" w14:textId="77777777" w:rsidR="006A0D8A" w:rsidRPr="006A0D8A" w:rsidRDefault="006A0D8A" w:rsidP="006A0D8A"/>
    <w:sectPr w:rsidR="006A0D8A" w:rsidRPr="006A0D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8A04" w14:textId="77777777" w:rsidR="00FD7F55" w:rsidRDefault="00FD7F55">
      <w:pPr>
        <w:spacing w:after="0" w:line="240" w:lineRule="auto"/>
      </w:pPr>
      <w:r>
        <w:separator/>
      </w:r>
    </w:p>
  </w:endnote>
  <w:endnote w:type="continuationSeparator" w:id="0">
    <w:p w14:paraId="08D5298B" w14:textId="77777777" w:rsidR="00FD7F55" w:rsidRDefault="00FD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33C3" w14:textId="77777777" w:rsidR="00FD7F55" w:rsidRDefault="00FD7F55">
      <w:pPr>
        <w:spacing w:after="0" w:line="240" w:lineRule="auto"/>
      </w:pPr>
      <w:r>
        <w:separator/>
      </w:r>
    </w:p>
  </w:footnote>
  <w:footnote w:type="continuationSeparator" w:id="0">
    <w:p w14:paraId="01D7E6BF" w14:textId="77777777" w:rsidR="00FD7F55" w:rsidRDefault="00FD7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7F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 w:numId="8">
    <w:abstractNumId w:val="5"/>
    <w:lvlOverride w:ilvl="2">
      <w:startOverride w:val="4"/>
    </w:lvlOverride>
  </w:num>
  <w:num w:numId="9">
    <w:abstractNumId w:val="5"/>
    <w:lvlOverride w:ilvl="2"/>
    <w:lvlOverride w:ilvl="3">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D7F55"/>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97038</TotalTime>
  <Pages>4</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5730</cp:revision>
  <dcterms:created xsi:type="dcterms:W3CDTF">2024-06-20T08:51:00Z</dcterms:created>
  <dcterms:modified xsi:type="dcterms:W3CDTF">2024-10-05T10:20:00Z</dcterms:modified>
  <cp:category/>
</cp:coreProperties>
</file>