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79ACB" w14:textId="3184B147" w:rsidR="0001582C" w:rsidRDefault="00551A8E" w:rsidP="00551A8E">
      <w:pPr>
        <w:rPr>
          <w:rFonts w:ascii="Verdana" w:hAnsi="Verdana"/>
          <w:b/>
          <w:bCs/>
          <w:color w:val="000000"/>
          <w:shd w:val="clear" w:color="auto" w:fill="FFFFFF"/>
        </w:rPr>
      </w:pPr>
      <w:r>
        <w:rPr>
          <w:rFonts w:ascii="Verdana" w:hAnsi="Verdana"/>
          <w:b/>
          <w:bCs/>
          <w:color w:val="000000"/>
          <w:shd w:val="clear" w:color="auto" w:fill="FFFFFF"/>
        </w:rPr>
        <w:t>Бабінцева Анастасія Генадієвна. Удосконалення методів прогнозування, діагностики та корекції метаболічних порушень у недоношених дітей за умов хронічної внутрішньоутробної гіпоксії. : Дис... канд. наук: 14.01.10 - 2007.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51A8E" w:rsidRPr="00551A8E" w14:paraId="4E9B9F06" w14:textId="77777777" w:rsidTr="00551A8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1A8E" w:rsidRPr="00551A8E" w14:paraId="52F55DEC" w14:textId="77777777">
              <w:trPr>
                <w:tblCellSpacing w:w="0" w:type="dxa"/>
              </w:trPr>
              <w:tc>
                <w:tcPr>
                  <w:tcW w:w="0" w:type="auto"/>
                  <w:vAlign w:val="center"/>
                  <w:hideMark/>
                </w:tcPr>
                <w:p w14:paraId="53BA2B97"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lastRenderedPageBreak/>
                    <w:t>Бабінцева А.Г. Удосконалення методів прогнозування, діагностики та корекції метаболічних порушень у недоношених дітей за умов хронічної внутрішньоутробної гіпоксії.- Рукопис.</w:t>
                  </w:r>
                </w:p>
                <w:p w14:paraId="2827204A"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14.01.10 - педіатрія. Інститут педіатрії, акушерства та гінекології АМН України. Київ, 2006.</w:t>
                  </w:r>
                </w:p>
                <w:p w14:paraId="000E87F6"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Дисертація присвячена вирішенню актуального завдання удосконалення медичної допомоги недоношеним новонародженим, які розвивалися за умов хронічної внутрішньоутробної гіпоксії та мали прояви гіпоксичного ураження ЦНС в ранньому неонатальному періоді. Визначені перинатальні фактори ризику, особливості клінічних проявів, характер метаболічних та імунологічних порушень в залежності від ступеня тяжкості патології.</w:t>
                  </w:r>
                </w:p>
                <w:p w14:paraId="48828A03"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На основі результатів багатофакторного кореляційного аналізу встановлені можливі механізми гіпоксичного ураження ЦНС у недоношених дітей в ранньому неонатальному періоді, у тому числі порушення процесів енергозабезпечення, прооксидантної та антиоксидантної рівноваги, імунологічної резистентності. Розроблені диференційно-діагностичні критерії ступеня тяжкості патології на першому тижні життя з урахуванням особливостей клінічних проявів та додаткових параклінічних показників. Науково обгрунтовано диференційований підхід до призначення препаратів метаболічної корекції у недоношених дітей з гіпоксичним ураженням ЦНС в ранньому неонатальному періоді.</w:t>
                  </w:r>
                </w:p>
              </w:tc>
            </w:tr>
          </w:tbl>
          <w:p w14:paraId="2A20FD21" w14:textId="77777777" w:rsidR="00551A8E" w:rsidRPr="00551A8E" w:rsidRDefault="00551A8E" w:rsidP="00551A8E">
            <w:pPr>
              <w:spacing w:after="0" w:line="240" w:lineRule="auto"/>
              <w:rPr>
                <w:rFonts w:ascii="Times New Roman" w:eastAsia="Times New Roman" w:hAnsi="Times New Roman" w:cs="Times New Roman"/>
                <w:sz w:val="24"/>
                <w:szCs w:val="24"/>
              </w:rPr>
            </w:pPr>
          </w:p>
        </w:tc>
      </w:tr>
      <w:tr w:rsidR="00551A8E" w:rsidRPr="00551A8E" w14:paraId="547CA897" w14:textId="77777777" w:rsidTr="00551A8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51A8E" w:rsidRPr="00551A8E" w14:paraId="07FF9B3D" w14:textId="77777777">
              <w:trPr>
                <w:tblCellSpacing w:w="0" w:type="dxa"/>
              </w:trPr>
              <w:tc>
                <w:tcPr>
                  <w:tcW w:w="0" w:type="auto"/>
                  <w:vAlign w:val="center"/>
                  <w:hideMark/>
                </w:tcPr>
                <w:p w14:paraId="43308052"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У дисертації наведено теоретичне обгрунтування та вирішення актуального завдання удосконалення методів прогнозування, діагностики та корекції метаболічних порушень у недоношених новонароджених, які розвивалися за умов ХВУГ.</w:t>
                  </w:r>
                </w:p>
                <w:p w14:paraId="36B7AD25"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1. Перинатальними факторами ризику гіпоксичного ураження ЦНС у недоношених новонароджених є вік матері старше 30 років (15,2%), поєднана соматична та гінекологічна патологія матері, у тому числі інфекції TORCH-комплексу (22,8%), кольпіт (20,7%), хронічний аднексит (16,6%), хронічний пієлонефрит (15,7%), вегето-судинна дистонія (13,8%), гострі респіраторні вірусні інфекції (11,8%); повторні вагітність (46,9%) та пологи (37,2%); обтяжений акушерський анамнез (штучне переривання вагітності (14,5%) та самовільні викидні (11,7%); ускладнення перебігу вагітності (ХФПН (38,6%) і анемія ІІ-ІІІ ступеня (11,0%) та пологів (ургентний кесарський розтин (13,8%).</w:t>
                  </w:r>
                </w:p>
                <w:p w14:paraId="3F7A38BC"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Групою ризику розвитку гіпоксичного ураження ЦНС тяжкого ступеня є недоношені діти, які розвивалися за умов ХВУГ, народилися при меншому гестаційному терміні (r=-0,83, р&lt;0,05), з меншою масою тіла (r=-0,77, р&lt;0,05) та низькою оцінкою гострої адаптації за шкалою Апгар (на 1 хвилині r=-0,42, р&lt;0,01; на 5 хвилині r=-0,36, р&lt;0,01).</w:t>
                  </w:r>
                </w:p>
                <w:p w14:paraId="4EDF6B66"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2. Прояви гіпоксичного ураження ЦНС тяжкого ступеня у недоношених новонароджених характеризуються збільшенням частоти ознак геморагічного (29,7%) та метаболічного (4,8%) ушкодження; відмічаються на фоні тяжкого перебігу соматичних захворювань, у тому числі респіраторного дистресу (80,3%) та асфіксії (49,6%). Клінічна симптоматика патології тяжкого ступеня супроводжується підвищенням частоти діагностування синдрому вегетативних дисфункцій (6,9%) та судомного синдрому (2,8%), а також збільшених розмірів печінки (35,2%), набряків (26,2%), гастро-інтестінальних (21,4%) та гемодинамічних (11,7%) розладів.</w:t>
                  </w:r>
                </w:p>
                <w:p w14:paraId="6C27FF7E"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lastRenderedPageBreak/>
                    <w:t>3. Зростання тяжкості гіпоксичного ураження ЦНС у дітей, які народилися раніше фізіологічного терміну гестації, супроводжується значними змінами показників біохімічного спектру сироватки крові, у тому числі зниженням рівнів загального білка та альбумінів, змінами рівня глюкози, збільшенням рівнів загального білірубіну, сечовини, сечової кислоти та холестерину на фоні підвищення активності ЛДГ, АлАТ, АсАТ та зниження концентрації іонів кальція, заліза.</w:t>
                  </w:r>
                </w:p>
                <w:p w14:paraId="55818400"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4. Ступінь тяжкості гіпоксичного ураження ЦНС у недоношених дітей визначається глибиною порушень механізмів адаптації до умов пологового ОС, у тому числі підвищенням інтенсивності ОМБ та зниженням вмісту компонентів АОСЗ (рівня ЦП та SН-груп плазми крові, активності каталази плазми крові та ГГТ).</w:t>
                  </w:r>
                </w:p>
                <w:p w14:paraId="64B1DE52"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5. Розвиток гіпоксичного ураження ЦНС тяжкого ступеня супроводжується дизбалансом ланок клітинного та гуморального імунітету, а саме, надмірною продукцією прозапальних цитокінів IL-1b та IL-6, збільшенням рівнів CD2</w:t>
                  </w:r>
                  <w:r w:rsidRPr="00551A8E">
                    <w:rPr>
                      <w:rFonts w:ascii="Times New Roman" w:eastAsia="Times New Roman" w:hAnsi="Times New Roman" w:cs="Times New Roman"/>
                      <w:sz w:val="24"/>
                      <w:szCs w:val="24"/>
                      <w:vertAlign w:val="superscript"/>
                    </w:rPr>
                    <w:t>+</w:t>
                  </w:r>
                  <w:r w:rsidRPr="00551A8E">
                    <w:rPr>
                      <w:rFonts w:ascii="Times New Roman" w:eastAsia="Times New Roman" w:hAnsi="Times New Roman" w:cs="Times New Roman"/>
                      <w:sz w:val="24"/>
                      <w:szCs w:val="24"/>
                    </w:rPr>
                    <w:t>-асоційованих Т- та NK-клітин, CD14</w:t>
                  </w:r>
                  <w:r w:rsidRPr="00551A8E">
                    <w:rPr>
                      <w:rFonts w:ascii="Times New Roman" w:eastAsia="Times New Roman" w:hAnsi="Times New Roman" w:cs="Times New Roman"/>
                      <w:sz w:val="24"/>
                      <w:szCs w:val="24"/>
                      <w:vertAlign w:val="superscript"/>
                    </w:rPr>
                    <w:t>+</w:t>
                  </w:r>
                  <w:r w:rsidRPr="00551A8E">
                    <w:rPr>
                      <w:rFonts w:ascii="Times New Roman" w:eastAsia="Times New Roman" w:hAnsi="Times New Roman" w:cs="Times New Roman"/>
                      <w:sz w:val="24"/>
                      <w:szCs w:val="24"/>
                    </w:rPr>
                    <w:t>-асоційованих моноцитів на фоні зниження рівнів CD15</w:t>
                  </w:r>
                  <w:r w:rsidRPr="00551A8E">
                    <w:rPr>
                      <w:rFonts w:ascii="Times New Roman" w:eastAsia="Times New Roman" w:hAnsi="Times New Roman" w:cs="Times New Roman"/>
                      <w:sz w:val="24"/>
                      <w:szCs w:val="24"/>
                      <w:vertAlign w:val="superscript"/>
                    </w:rPr>
                    <w:t>+</w:t>
                  </w:r>
                  <w:r w:rsidRPr="00551A8E">
                    <w:rPr>
                      <w:rFonts w:ascii="Times New Roman" w:eastAsia="Times New Roman" w:hAnsi="Times New Roman" w:cs="Times New Roman"/>
                      <w:sz w:val="24"/>
                      <w:szCs w:val="24"/>
                    </w:rPr>
                    <w:t>-асоційованих нейтрофілів, CD19</w:t>
                  </w:r>
                  <w:r w:rsidRPr="00551A8E">
                    <w:rPr>
                      <w:rFonts w:ascii="Times New Roman" w:eastAsia="Times New Roman" w:hAnsi="Times New Roman" w:cs="Times New Roman"/>
                      <w:sz w:val="24"/>
                      <w:szCs w:val="24"/>
                      <w:vertAlign w:val="superscript"/>
                    </w:rPr>
                    <w:t>+</w:t>
                  </w:r>
                  <w:r w:rsidRPr="00551A8E">
                    <w:rPr>
                      <w:rFonts w:ascii="Times New Roman" w:eastAsia="Times New Roman" w:hAnsi="Times New Roman" w:cs="Times New Roman"/>
                      <w:sz w:val="24"/>
                      <w:szCs w:val="24"/>
                    </w:rPr>
                    <w:t>-асоційованих В-лімфоцитів та CD54</w:t>
                  </w:r>
                  <w:r w:rsidRPr="00551A8E">
                    <w:rPr>
                      <w:rFonts w:ascii="Times New Roman" w:eastAsia="Times New Roman" w:hAnsi="Times New Roman" w:cs="Times New Roman"/>
                      <w:sz w:val="24"/>
                      <w:szCs w:val="24"/>
                      <w:vertAlign w:val="superscript"/>
                    </w:rPr>
                    <w:t>+</w:t>
                  </w:r>
                  <w:r w:rsidRPr="00551A8E">
                    <w:rPr>
                      <w:rFonts w:ascii="Times New Roman" w:eastAsia="Times New Roman" w:hAnsi="Times New Roman" w:cs="Times New Roman"/>
                      <w:sz w:val="24"/>
                      <w:szCs w:val="24"/>
                    </w:rPr>
                    <w:t>-асоційованих клітин ІСАМ-1.</w:t>
                  </w:r>
                </w:p>
                <w:p w14:paraId="16AAE654"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6. Одним з механізмів гіпоксичного ураження ЦНС у недоношених дітей є значні порушення метаболічних процесів на фоні морфо-функціональної незрілості систем органів, у тому числі виснаження вуглеводного та білкового енергетичних резервів, порушення балансу іонів кальція та надмірна активація ферментних систем, що поглиблюються внаслідок запуску реакцій цитокінового каскаду та патологічного пологового ОС.</w:t>
                  </w:r>
                </w:p>
                <w:p w14:paraId="3552E5A1"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7. Диференційно-діагностичними критеріями ступеня тяжкості гіпоксичного ураження ЦНС у передчасно народжених дітей в ранньому неонатальному періоді є тяжкість клінічних проявів захворювання за бальною шкалою “Оцінка неврологічного статусу недоношеного новонародженого” та результати додаткових методів обстеження (рівень глюкози, загального білка; активність АсАТ, АлАТ, ЛДГ; концентрація іонів кальція; рівня ЦП, SH-груп плазми крові; активність каталази плазми крові; інтенсивність ОМБ; рівень IL-1b та IL-6).</w:t>
                  </w:r>
                </w:p>
                <w:p w14:paraId="48402568"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8. Удосконалення лікувальних заходів у недоношених новонароджених з гіпоксичним ураженням ЦНС передбачає, крім загальноприйнятих методів, диференційоване призначення засобів метаболічної корекції з урахуванням ступеня тяжкості патології в ранньому неонатальному періоді. Використання АГТП ”Traumeel S” у комплексі терапії дітей з гіпоксичним ураженням ЦНС легкого ступеня надає змогу стимулювати процеси самовідновлення та саморегуляції організму. Застосування препарату ”Протефлазід” при лікуванні новонароджених з гіпоксичним ураженням ЦНС середнього та тяжкого ступеня, враховуючи імуномодулюючий та антиоксидантний механізми дії, дозволяє попередити розвиток значних гомеостатичних порушень при реалізації негативного впливу гіпоксії.</w:t>
                  </w:r>
                </w:p>
                <w:p w14:paraId="5FE7F167"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Представлений комплекс діагностичних та лікувальних заходів при гіпоксичному ураженні ЦНС у недоношених дітей надав змогу зменшити показники ранньої неонатальної смертності дітей даної групи у базовому лікувальному закладі в 1,9 рази (у 2003 році - 7,5, у 2004 році – 4,0).</w:t>
                  </w:r>
                </w:p>
                <w:p w14:paraId="6024E877"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b/>
                      <w:bCs/>
                      <w:sz w:val="24"/>
                      <w:szCs w:val="24"/>
                    </w:rPr>
                    <w:t>Практичні рекомендації</w:t>
                  </w:r>
                </w:p>
                <w:p w14:paraId="02F6F43A"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lastRenderedPageBreak/>
                    <w:t>1. Для прогнозування та діагностики гіпоксичного ураження ЦНС у недоношених дітей в ранньому неонатальному періоді необхідно проводити аналіз перинатальних факторів ризику, особливостей неврологічного статусу з урахуванням гестаційного віку, тяжкості соматичної патології та результатів комплексного параклінічного обстеження.</w:t>
                  </w:r>
                </w:p>
                <w:p w14:paraId="57040420"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Для діагностики ступеня тяжкості гіпоксичного ураження ЦНС у передчасно народжених дітей за клінічними ознаками рекомендовано використання бальної шкали “Оцінка неврологічного статусу недоношеного новонародженого” (табл.3). Гіпоксичне ураження ЦНС легкого ступеня діагностується при загальній сумі балів до 11, середнього ступеня тяжкості – 12-20 балів, тяжкого ступеня – більше 21 бала.</w:t>
                  </w:r>
                </w:p>
                <w:p w14:paraId="501F1C2A"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2. Для діагностики метаболічних порушень у недоношених новонароджених за умов гіпоксії слід проводити дослідження біохімічного спектру сироватки крові. Зростання ризику гіпоксичного ураження ЦНС тяжкого ступеня визначається при рівні загального білка &lt; 48,9 г/л, альбумінів &lt; 22,9 г/л, глюкози &lt; 2,6 ммоль/л, сечовини &gt; 11,3 ммоль/л, сечової кислоти &gt; 570,5 мкмоль/л, холестерину &gt; 3,5 ммоль/л, концентрації іонів кальція &lt; 1,6 ммоль/л; активності ЛДГ &gt; 1185,1 од/л, АсАТ &gt; 75,5 од/л, АлАТ &gt; 27,4 од/л.</w:t>
                  </w:r>
                </w:p>
                <w:p w14:paraId="54884E40"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3. Для встановлення характеру взаємодії прооксидантної та антиоксидантної систем організму передчасно народжених дітей, які розвивалися за умов гіпоксії, рекомендовано визначення у плазмі крові інтенсивності ОМБ, рівня ЦП і SН-груп, активності каталази і ГГТ. Ризик формування гіпоксичного ураження ЦНС тяжкого ступеня супроводжується рівнем ОМБ &gt; 104,1 Е/г білка; ЦП &lt; 26,7 Е/г білка; SН-груп плазми крові &lt; 0,8 мкмоль/г білка, активності каталази плазми крові &lt; 1,0 Е/хв</w:t>
                  </w:r>
                  <w:r w:rsidRPr="00551A8E">
                    <w:rPr>
                      <w:rFonts w:ascii="Times New Roman" w:eastAsia="Times New Roman" w:hAnsi="Times New Roman" w:cs="Times New Roman"/>
                      <w:sz w:val="24"/>
                      <w:szCs w:val="24"/>
                      <w:vertAlign w:val="superscript"/>
                    </w:rPr>
                    <w:t>.</w:t>
                  </w:r>
                  <w:r w:rsidRPr="00551A8E">
                    <w:rPr>
                      <w:rFonts w:ascii="Times New Roman" w:eastAsia="Times New Roman" w:hAnsi="Times New Roman" w:cs="Times New Roman"/>
                      <w:sz w:val="24"/>
                      <w:szCs w:val="24"/>
                    </w:rPr>
                    <w:t>г білка і ГГТ &lt; 71,7 од/л.</w:t>
                  </w:r>
                </w:p>
                <w:p w14:paraId="0C2EC2AC"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4. Для діагностики імунологічних порушень у недоношених дітей на фоні ХВУГ пропонується визначення рівня прозапальних цитокінів IL-1b та IL-6. Високий ризик гіпоксичного ураження ЦНС тяжкого ступеня визначається при збільшенні рівня IL-1b &gt; 1965,4 пкг/мл, IL-6 &gt; 183,1 пкг/мл.</w:t>
                  </w:r>
                </w:p>
                <w:p w14:paraId="78EEF6A8"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5. Для підвищення ефективності лікування недоношених новонароджених з гіпоксичним ураженням ЦНС рекомендовано індивідуальний підхід відповідно до ступеня тяжкості патології в ранньому неонатальному періоді. При гіпоксичному ураженні ЦНС легкого ступеня в комплексі метаболічної корекції рекомендовано застосування АГТП ”Traumeel S”, доза якого складає 0,15-0,2 мл/кг у розведенні на 2,0 мл 0,9% розчину натрію хлориду перорально 1 раз на добу. При комплексному лікуванні недоношених дітей з гіпоксичним ураженням ЦНС середнього та тяжкого ступеня рекомендовано використання препарату ”Протефлазід”, доза якого складає 0,005 мг/кг (1 крапля - 0,0135 мг) у розведенні на 2,0 мл 0,9% розчину натрію хлориду перорально 1 раз на добу.</w:t>
                  </w:r>
                </w:p>
                <w:p w14:paraId="02797163" w14:textId="77777777" w:rsidR="00551A8E" w:rsidRPr="00551A8E" w:rsidRDefault="00551A8E" w:rsidP="00551A8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51A8E">
                    <w:rPr>
                      <w:rFonts w:ascii="Times New Roman" w:eastAsia="Times New Roman" w:hAnsi="Times New Roman" w:cs="Times New Roman"/>
                      <w:sz w:val="24"/>
                      <w:szCs w:val="24"/>
                    </w:rPr>
                    <w:t>Тривалість застосування препаратів визначається індивідуально відповідно динаміки клінічного перебігу захворювання.</w:t>
                  </w:r>
                </w:p>
              </w:tc>
            </w:tr>
          </w:tbl>
          <w:p w14:paraId="73F33672" w14:textId="77777777" w:rsidR="00551A8E" w:rsidRPr="00551A8E" w:rsidRDefault="00551A8E" w:rsidP="00551A8E">
            <w:pPr>
              <w:spacing w:after="0" w:line="240" w:lineRule="auto"/>
              <w:rPr>
                <w:rFonts w:ascii="Times New Roman" w:eastAsia="Times New Roman" w:hAnsi="Times New Roman" w:cs="Times New Roman"/>
                <w:sz w:val="24"/>
                <w:szCs w:val="24"/>
              </w:rPr>
            </w:pPr>
          </w:p>
        </w:tc>
      </w:tr>
    </w:tbl>
    <w:p w14:paraId="4A91B401" w14:textId="77777777" w:rsidR="00551A8E" w:rsidRPr="00551A8E" w:rsidRDefault="00551A8E" w:rsidP="00551A8E"/>
    <w:sectPr w:rsidR="00551A8E" w:rsidRPr="00551A8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E11F2" w14:textId="77777777" w:rsidR="00D63846" w:rsidRDefault="00D63846">
      <w:pPr>
        <w:spacing w:after="0" w:line="240" w:lineRule="auto"/>
      </w:pPr>
      <w:r>
        <w:separator/>
      </w:r>
    </w:p>
  </w:endnote>
  <w:endnote w:type="continuationSeparator" w:id="0">
    <w:p w14:paraId="779E4194" w14:textId="77777777" w:rsidR="00D63846" w:rsidRDefault="00D6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9EAC" w14:textId="77777777" w:rsidR="00D63846" w:rsidRDefault="00D63846">
      <w:pPr>
        <w:spacing w:after="0" w:line="240" w:lineRule="auto"/>
      </w:pPr>
      <w:r>
        <w:separator/>
      </w:r>
    </w:p>
  </w:footnote>
  <w:footnote w:type="continuationSeparator" w:id="0">
    <w:p w14:paraId="5353EF40" w14:textId="77777777" w:rsidR="00D63846" w:rsidRDefault="00D63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6384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01E81"/>
    <w:multiLevelType w:val="multilevel"/>
    <w:tmpl w:val="DCEA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C5AE3"/>
    <w:multiLevelType w:val="multilevel"/>
    <w:tmpl w:val="F52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41E39"/>
    <w:multiLevelType w:val="multilevel"/>
    <w:tmpl w:val="2F8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62138"/>
    <w:multiLevelType w:val="multilevel"/>
    <w:tmpl w:val="18FA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D40F8A"/>
    <w:multiLevelType w:val="multilevel"/>
    <w:tmpl w:val="A8B2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F3B59"/>
    <w:multiLevelType w:val="multilevel"/>
    <w:tmpl w:val="203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106647"/>
    <w:multiLevelType w:val="multilevel"/>
    <w:tmpl w:val="DEEA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823735"/>
    <w:multiLevelType w:val="multilevel"/>
    <w:tmpl w:val="44CCA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403466"/>
    <w:multiLevelType w:val="multilevel"/>
    <w:tmpl w:val="D86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E3012C"/>
    <w:multiLevelType w:val="multilevel"/>
    <w:tmpl w:val="2A961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9241FC"/>
    <w:multiLevelType w:val="multilevel"/>
    <w:tmpl w:val="4F781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6A08B6"/>
    <w:multiLevelType w:val="multilevel"/>
    <w:tmpl w:val="C52A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961247"/>
    <w:multiLevelType w:val="multilevel"/>
    <w:tmpl w:val="A1163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BE203D"/>
    <w:multiLevelType w:val="multilevel"/>
    <w:tmpl w:val="E2A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645364"/>
    <w:multiLevelType w:val="multilevel"/>
    <w:tmpl w:val="E72C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0"/>
  </w:num>
  <w:num w:numId="4">
    <w:abstractNumId w:val="5"/>
  </w:num>
  <w:num w:numId="5">
    <w:abstractNumId w:val="26"/>
  </w:num>
  <w:num w:numId="6">
    <w:abstractNumId w:val="20"/>
  </w:num>
  <w:num w:numId="7">
    <w:abstractNumId w:val="12"/>
  </w:num>
  <w:num w:numId="8">
    <w:abstractNumId w:val="23"/>
  </w:num>
  <w:num w:numId="9">
    <w:abstractNumId w:val="21"/>
  </w:num>
  <w:num w:numId="10">
    <w:abstractNumId w:val="25"/>
  </w:num>
  <w:num w:numId="11">
    <w:abstractNumId w:val="7"/>
  </w:num>
  <w:num w:numId="12">
    <w:abstractNumId w:val="13"/>
  </w:num>
  <w:num w:numId="13">
    <w:abstractNumId w:val="16"/>
  </w:num>
  <w:num w:numId="14">
    <w:abstractNumId w:val="4"/>
  </w:num>
  <w:num w:numId="15">
    <w:abstractNumId w:val="9"/>
  </w:num>
  <w:num w:numId="16">
    <w:abstractNumId w:val="22"/>
  </w:num>
  <w:num w:numId="17">
    <w:abstractNumId w:val="27"/>
  </w:num>
  <w:num w:numId="18">
    <w:abstractNumId w:val="15"/>
  </w:num>
  <w:num w:numId="19">
    <w:abstractNumId w:val="3"/>
  </w:num>
  <w:num w:numId="20">
    <w:abstractNumId w:val="11"/>
  </w:num>
  <w:num w:numId="21">
    <w:abstractNumId w:val="8"/>
  </w:num>
  <w:num w:numId="22">
    <w:abstractNumId w:val="6"/>
  </w:num>
  <w:num w:numId="23">
    <w:abstractNumId w:val="19"/>
  </w:num>
  <w:num w:numId="24">
    <w:abstractNumId w:val="18"/>
  </w:num>
  <w:num w:numId="25">
    <w:abstractNumId w:val="17"/>
  </w:num>
  <w:num w:numId="26">
    <w:abstractNumId w:val="24"/>
  </w:num>
  <w:num w:numId="27">
    <w:abstractNumId w:val="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8C8"/>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302"/>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8B"/>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8E"/>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979"/>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50F"/>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83"/>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846"/>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87D"/>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135352</TotalTime>
  <Pages>4</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7309</cp:revision>
  <dcterms:created xsi:type="dcterms:W3CDTF">2024-06-20T08:51:00Z</dcterms:created>
  <dcterms:modified xsi:type="dcterms:W3CDTF">2025-02-05T10:38:00Z</dcterms:modified>
  <cp:category/>
</cp:coreProperties>
</file>