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8751" w14:textId="36BDA2E4" w:rsidR="00DA5A86" w:rsidRDefault="002337D1" w:rsidP="002337D1">
      <w:pPr>
        <w:rPr>
          <w:rFonts w:ascii="Verdana" w:hAnsi="Verdana"/>
          <w:b/>
          <w:bCs/>
          <w:color w:val="000000"/>
          <w:shd w:val="clear" w:color="auto" w:fill="FFFFFF"/>
        </w:rPr>
      </w:pPr>
      <w:r>
        <w:rPr>
          <w:rFonts w:ascii="Verdana" w:hAnsi="Verdana"/>
          <w:b/>
          <w:bCs/>
          <w:color w:val="000000"/>
          <w:shd w:val="clear" w:color="auto" w:fill="FFFFFF"/>
        </w:rPr>
        <w:t>Горовий Дмитро Анатолійович. Управління рухом оборотного капіталу підприємства: дис... канд. екон. наук: 08.06.01 / Харківський національний економічний ун-т.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337D1" w:rsidRPr="002337D1" w14:paraId="149AECB4" w14:textId="77777777" w:rsidTr="002337D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37D1" w:rsidRPr="002337D1" w14:paraId="0D947E84" w14:textId="77777777">
              <w:trPr>
                <w:tblCellSpacing w:w="0" w:type="dxa"/>
              </w:trPr>
              <w:tc>
                <w:tcPr>
                  <w:tcW w:w="0" w:type="auto"/>
                  <w:vAlign w:val="center"/>
                  <w:hideMark/>
                </w:tcPr>
                <w:p w14:paraId="675EBE18" w14:textId="77777777" w:rsidR="002337D1" w:rsidRPr="002337D1" w:rsidRDefault="002337D1" w:rsidP="002337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37D1">
                    <w:rPr>
                      <w:rFonts w:ascii="Times New Roman" w:eastAsia="Times New Roman" w:hAnsi="Times New Roman" w:cs="Times New Roman"/>
                      <w:b/>
                      <w:bCs/>
                      <w:sz w:val="24"/>
                      <w:szCs w:val="24"/>
                    </w:rPr>
                    <w:lastRenderedPageBreak/>
                    <w:t>Горовий Д.А. Управління рухом оборотного капіталу підприємства. – Рукопис.</w:t>
                  </w:r>
                </w:p>
                <w:p w14:paraId="38AF8F1D" w14:textId="77777777" w:rsidR="002337D1" w:rsidRPr="002337D1" w:rsidRDefault="002337D1" w:rsidP="002337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37D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економічний університет, Харків, 2005.</w:t>
                  </w:r>
                </w:p>
                <w:p w14:paraId="421210B2" w14:textId="77777777" w:rsidR="002337D1" w:rsidRPr="002337D1" w:rsidRDefault="002337D1" w:rsidP="002337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37D1">
                    <w:rPr>
                      <w:rFonts w:ascii="Times New Roman" w:eastAsia="Times New Roman" w:hAnsi="Times New Roman" w:cs="Times New Roman"/>
                      <w:sz w:val="24"/>
                      <w:szCs w:val="24"/>
                    </w:rPr>
                    <w:t>Дисертацію присвячено комплексу питань, пов’язаних з управлінням рухом оборотного капіталу підприємства у ринкових умовах. Для цього уточнено зміст категорії "оборотний капітал підприємства" та супутніх категорій і понять і їх роль в регулюванні надійності та ефективності відтворювальних процесів підприємств. Проаналізовано та обґрунтовано необхідність введення нових класифікаційних ознак оборотного капіталу. Узагальнено існуючі підходи до управління оборотним капіталом, обґрунтовано необхідність та розкрито зміст управління рухом оборотного капіталу підприємства.</w:t>
                  </w:r>
                </w:p>
                <w:p w14:paraId="4A17493E" w14:textId="77777777" w:rsidR="002337D1" w:rsidRPr="002337D1" w:rsidRDefault="002337D1" w:rsidP="002337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37D1">
                    <w:rPr>
                      <w:rFonts w:ascii="Times New Roman" w:eastAsia="Times New Roman" w:hAnsi="Times New Roman" w:cs="Times New Roman"/>
                      <w:sz w:val="24"/>
                      <w:szCs w:val="24"/>
                    </w:rPr>
                    <w:t>Систематизовано та проаналізовано особливості розподілу та оцінки виконання спеціальних функцій управління рухом оборотного капіталу на промислових підприємствах. Визначено вплив рівня виконання спеціальних функцій управління рухом оборотного капіталу на показники, що характеризують цей рух. Доведено доцільність визначення чотирьох проявів динаміки</w:t>
                  </w:r>
                  <w:r w:rsidRPr="002337D1">
                    <w:rPr>
                      <w:rFonts w:ascii="Times New Roman" w:eastAsia="Times New Roman" w:hAnsi="Times New Roman" w:cs="Times New Roman"/>
                      <w:b/>
                      <w:bCs/>
                      <w:sz w:val="24"/>
                      <w:szCs w:val="24"/>
                    </w:rPr>
                    <w:t> </w:t>
                  </w:r>
                  <w:r w:rsidRPr="002337D1">
                    <w:rPr>
                      <w:rFonts w:ascii="Times New Roman" w:eastAsia="Times New Roman" w:hAnsi="Times New Roman" w:cs="Times New Roman"/>
                      <w:sz w:val="24"/>
                      <w:szCs w:val="24"/>
                    </w:rPr>
                    <w:t>оборотного капіталу. Проведена класифікація та оцінка ризиків руху оборотного капіталу.</w:t>
                  </w:r>
                </w:p>
                <w:p w14:paraId="7A619B6C" w14:textId="77777777" w:rsidR="002337D1" w:rsidRPr="002337D1" w:rsidRDefault="002337D1" w:rsidP="002337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37D1">
                    <w:rPr>
                      <w:rFonts w:ascii="Times New Roman" w:eastAsia="Times New Roman" w:hAnsi="Times New Roman" w:cs="Times New Roman"/>
                      <w:sz w:val="24"/>
                      <w:szCs w:val="24"/>
                    </w:rPr>
                    <w:t>Запропоновано методику управління рухом оборотного капіталу на основі бюджетування. Розроблено методичні рекомендації щодо використання багатокритеріальної (векторної) оптимізації ризиків руху оборотного капіталу.</w:t>
                  </w:r>
                </w:p>
              </w:tc>
            </w:tr>
          </w:tbl>
          <w:p w14:paraId="14C6403C" w14:textId="77777777" w:rsidR="002337D1" w:rsidRPr="002337D1" w:rsidRDefault="002337D1" w:rsidP="002337D1">
            <w:pPr>
              <w:spacing w:after="0" w:line="240" w:lineRule="auto"/>
              <w:rPr>
                <w:rFonts w:ascii="Times New Roman" w:eastAsia="Times New Roman" w:hAnsi="Times New Roman" w:cs="Times New Roman"/>
                <w:sz w:val="24"/>
                <w:szCs w:val="24"/>
              </w:rPr>
            </w:pPr>
          </w:p>
        </w:tc>
      </w:tr>
      <w:tr w:rsidR="002337D1" w:rsidRPr="002337D1" w14:paraId="457B68D1" w14:textId="77777777" w:rsidTr="002337D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37D1" w:rsidRPr="002337D1" w14:paraId="586F71AE" w14:textId="77777777">
              <w:trPr>
                <w:tblCellSpacing w:w="0" w:type="dxa"/>
              </w:trPr>
              <w:tc>
                <w:tcPr>
                  <w:tcW w:w="0" w:type="auto"/>
                  <w:vAlign w:val="center"/>
                  <w:hideMark/>
                </w:tcPr>
                <w:p w14:paraId="167783FE" w14:textId="77777777" w:rsidR="002337D1" w:rsidRPr="002337D1" w:rsidRDefault="002337D1" w:rsidP="002337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37D1">
                    <w:rPr>
                      <w:rFonts w:ascii="Times New Roman" w:eastAsia="Times New Roman" w:hAnsi="Times New Roman" w:cs="Times New Roman"/>
                      <w:sz w:val="24"/>
                      <w:szCs w:val="24"/>
                    </w:rPr>
                    <w:t>Одержані в ході дослідження результати в сукупності вирішують важливе науково-практичне завдання – розроблення методичних підходів і практичних рекомендацій щодо вибору способів, інструментів управління рухом оборотного капіталу в аспекті оптимізації проявів динаміки оборотного капіталу.</w:t>
                  </w:r>
                </w:p>
                <w:p w14:paraId="020F6F82" w14:textId="77777777" w:rsidR="002337D1" w:rsidRPr="002337D1" w:rsidRDefault="002337D1" w:rsidP="002337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37D1">
                    <w:rPr>
                      <w:rFonts w:ascii="Times New Roman" w:eastAsia="Times New Roman" w:hAnsi="Times New Roman" w:cs="Times New Roman"/>
                      <w:sz w:val="24"/>
                      <w:szCs w:val="24"/>
                    </w:rPr>
                    <w:t>В ході проведення досліджень були отримані такі результати:</w:t>
                  </w:r>
                </w:p>
                <w:p w14:paraId="2535859A" w14:textId="77777777" w:rsidR="002337D1" w:rsidRPr="002337D1" w:rsidRDefault="002337D1" w:rsidP="002337D1">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337D1">
                    <w:rPr>
                      <w:rFonts w:ascii="Times New Roman" w:eastAsia="Times New Roman" w:hAnsi="Times New Roman" w:cs="Times New Roman"/>
                      <w:sz w:val="24"/>
                      <w:szCs w:val="24"/>
                    </w:rPr>
                    <w:t>Оборотний капітал підприємства – це грошові та матеріальні фонди підприємства в їх двохаспектному прояві (джерела формування та капітальні блага), які в процесі циклічного кругообігу переходять із однієї форми в іншу і повністю переносять свою вартість на готовий продукт. Оборотний капітал, існуючи в цілісному процесі кругообігу, є складною системою елементів, які послідовно трансформуються один в одного і вимагають в умовах ринкової економіки своєчасного забезпечення фінансовими ресурсами.</w:t>
                  </w:r>
                </w:p>
                <w:p w14:paraId="11532158" w14:textId="77777777" w:rsidR="002337D1" w:rsidRPr="002337D1" w:rsidRDefault="002337D1" w:rsidP="002337D1">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337D1">
                    <w:rPr>
                      <w:rFonts w:ascii="Times New Roman" w:eastAsia="Times New Roman" w:hAnsi="Times New Roman" w:cs="Times New Roman"/>
                      <w:sz w:val="24"/>
                      <w:szCs w:val="24"/>
                    </w:rPr>
                    <w:t>Необхідність поєднання як статичних, так і динамічних підходів в управлінні рухом оборотного капіталу обумовлює необхідність уведення нових ознак: "за групами обліку" та "за формою" у класифікації елементів оборотного капіталу. Перша ознака враховує двохаспектний прояв капіталу – джерела формування та капітальні блага, а друга – можливість перебування складових елементів оборотного капіталу на підприємстві у економічній або фінансовій формі. В економічній формі вони являють собою капітальні блага, тобто сукупність ресурсів, наявних на підприємстві, а у фінансовій формі – джерела фінансування цих ресурсів, тобто авансовані або тільки нараховані грошові кошти.</w:t>
                  </w:r>
                </w:p>
                <w:p w14:paraId="3D32E085" w14:textId="77777777" w:rsidR="002337D1" w:rsidRPr="002337D1" w:rsidRDefault="002337D1" w:rsidP="002337D1">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337D1">
                    <w:rPr>
                      <w:rFonts w:ascii="Times New Roman" w:eastAsia="Times New Roman" w:hAnsi="Times New Roman" w:cs="Times New Roman"/>
                      <w:sz w:val="24"/>
                      <w:szCs w:val="24"/>
                    </w:rPr>
                    <w:lastRenderedPageBreak/>
                    <w:t>Управління рухом оборотного капіталу відбувається на підприємстві через виконання загальних і спеціальних функцій управління. З цією метою визначено основні спеціальні функції, які було систематизовано та впорядковано за загальними функціями управління. При дослідженні було виявлено існування на всіх досліджених підприємствах резервів удосконалення управління рухом оборотного капіталу.</w:t>
                  </w:r>
                </w:p>
                <w:p w14:paraId="63DC26F4" w14:textId="77777777" w:rsidR="002337D1" w:rsidRPr="002337D1" w:rsidRDefault="002337D1" w:rsidP="002337D1">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337D1">
                    <w:rPr>
                      <w:rFonts w:ascii="Times New Roman" w:eastAsia="Times New Roman" w:hAnsi="Times New Roman" w:cs="Times New Roman"/>
                      <w:sz w:val="24"/>
                      <w:szCs w:val="24"/>
                    </w:rPr>
                    <w:t>Складність руху оборотного капіталу обумовлює доцільність дослідження чотирьох проявів динаміки оборотного капіталу, які необхідно враховувати в управлінні ним: зміни у структурі; часовий тренд; зміни періоду обігу; перетік коштів з пасивів у активи.</w:t>
                  </w:r>
                </w:p>
                <w:p w14:paraId="0FCF5A47" w14:textId="77777777" w:rsidR="002337D1" w:rsidRPr="002337D1" w:rsidRDefault="002337D1" w:rsidP="002337D1">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337D1">
                    <w:rPr>
                      <w:rFonts w:ascii="Times New Roman" w:eastAsia="Times New Roman" w:hAnsi="Times New Roman" w:cs="Times New Roman"/>
                      <w:sz w:val="24"/>
                      <w:szCs w:val="24"/>
                    </w:rPr>
                    <w:t>На ефективність управління рухом оборотного капіталу в умовах ринкової економіки значно впливають фактори зовнішнього і внутрішнього середовища. Це стає причиною появи ризиків руху оборотного капіталу. В основу класифікації ризиків руху оборотного капіталу варто покласти прояви динаміки як усієї суми оборотного капіталу, так і його окремих складових елементів.</w:t>
                  </w:r>
                </w:p>
                <w:p w14:paraId="20C6FE08" w14:textId="77777777" w:rsidR="002337D1" w:rsidRPr="002337D1" w:rsidRDefault="002337D1" w:rsidP="002337D1">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337D1">
                    <w:rPr>
                      <w:rFonts w:ascii="Times New Roman" w:eastAsia="Times New Roman" w:hAnsi="Times New Roman" w:cs="Times New Roman"/>
                      <w:sz w:val="24"/>
                      <w:szCs w:val="24"/>
                    </w:rPr>
                    <w:t>Для кількісного виміру ризиків руху оборотного капіталу в роботі визначено сфери застосування різних методів, які враховують якісну та змістовну їх характеристику. Так, для кількісної оцінки рівня динамічних і структурних ризиків доцільним є використання показників: середньоквадратичне відхилення () і квадратичний коефіцієнт варіації (</w:t>
                  </w:r>
                  <w:r w:rsidRPr="002337D1">
                    <w:rPr>
                      <w:rFonts w:ascii="Times New Roman" w:eastAsia="Times New Roman" w:hAnsi="Times New Roman" w:cs="Times New Roman"/>
                      <w:i/>
                      <w:iCs/>
                      <w:sz w:val="24"/>
                      <w:szCs w:val="24"/>
                    </w:rPr>
                    <w:t>v</w:t>
                  </w:r>
                  <w:r w:rsidRPr="002337D1">
                    <w:rPr>
                      <w:rFonts w:ascii="Times New Roman" w:eastAsia="Times New Roman" w:hAnsi="Times New Roman" w:cs="Times New Roman"/>
                      <w:sz w:val="24"/>
                      <w:szCs w:val="24"/>
                    </w:rPr>
                    <w:t>). Оцінку циклічних ризиків слід виконувати шляхом порівняння прогнозованої загальної величини оборотного капіталу і його елементів з аналогічними даними попередніх періодів з урахуванням абсолютного розміру та коливання прогнозних значень за допомогою моделі Бокса-Дженкінса. Вимірювання відсоткового ризику необхідно проводити за допомогою показника дюрації, який характеризує ступінь чутливості вартості капіталу до відсоткових ставок.</w:t>
                  </w:r>
                </w:p>
                <w:p w14:paraId="0D0C4124" w14:textId="77777777" w:rsidR="002337D1" w:rsidRPr="002337D1" w:rsidRDefault="002337D1" w:rsidP="002337D1">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337D1">
                    <w:rPr>
                      <w:rFonts w:ascii="Times New Roman" w:eastAsia="Times New Roman" w:hAnsi="Times New Roman" w:cs="Times New Roman"/>
                      <w:sz w:val="24"/>
                      <w:szCs w:val="24"/>
                    </w:rPr>
                    <w:t>Використання бюджетування робить можливим поєднання ситуаційного та процесного підходів в управлінні рухом оборотного капіталу і погодження управління фінансами підприємства та фінансового управління. Ефективність використання бюджетування залежить від вибору оптимального бюджетного періоду, тривалість якого встановлюється залежно від середньої тривалості виробничого й операційного циклів, що є індивідуальними для кожного підприємства. Для узгодження бюджетних періодів з термінами складання фінансової звітності, тривалість бюджетного періоду доцільно обирати такою, щоб вона була пропорційна одному кварталу.</w:t>
                  </w:r>
                </w:p>
                <w:p w14:paraId="2A2BB974" w14:textId="77777777" w:rsidR="002337D1" w:rsidRPr="002337D1" w:rsidRDefault="002337D1" w:rsidP="002337D1">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337D1">
                    <w:rPr>
                      <w:rFonts w:ascii="Times New Roman" w:eastAsia="Times New Roman" w:hAnsi="Times New Roman" w:cs="Times New Roman"/>
                      <w:sz w:val="24"/>
                      <w:szCs w:val="24"/>
                    </w:rPr>
                    <w:t>Для оптимізації впливу ризиків руху оборотного капіталу доцільно використовувати лише два способи – управління активами і пасивами та хеджування. Перший спосіб зводиться до формування оптимальної моделі фінансування оборотного капіталу за рахунок визначення постійної та змінної його частини. Другий спосіб передбачає обмін зобов’язань зі змінною відсотковою ставкою на зобов’язання з фіксованою відсотковою ставкою за допомогою відсоткового свопу. При цьому безпосередні розміри хеджу залежать від обсягу елементів оборотного капіталу, негативну динаміку яких необхідно нейтралізувати.</w:t>
                  </w:r>
                </w:p>
                <w:p w14:paraId="6A765388" w14:textId="77777777" w:rsidR="002337D1" w:rsidRPr="002337D1" w:rsidRDefault="002337D1" w:rsidP="002337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37D1">
                    <w:rPr>
                      <w:rFonts w:ascii="Times New Roman" w:eastAsia="Times New Roman" w:hAnsi="Times New Roman" w:cs="Times New Roman"/>
                      <w:sz w:val="24"/>
                      <w:szCs w:val="24"/>
                    </w:rPr>
                    <w:t>9. Для ефективного управління рухом оборотного капіталу й утримання ризиків на оптимальному рівні загальна модель руху оборотного капіталу може бути представлена у вигляді: максимізація валового прибутку підприємства та мінімізація обсягу оборотного капіталу, періоду його обігу та вартості оборотного капіталу. Її побудова можлива за допомогою методу багатокритеріальної (векторної) оптимізації. Рішення задачі багатокритеріальної оптимізації (</w:t>
                  </w:r>
                  <w:r w:rsidRPr="002337D1">
                    <w:rPr>
                      <w:rFonts w:ascii="Times New Roman" w:eastAsia="Times New Roman" w:hAnsi="Times New Roman" w:cs="Times New Roman"/>
                      <w:i/>
                      <w:iCs/>
                      <w:sz w:val="24"/>
                      <w:szCs w:val="24"/>
                    </w:rPr>
                    <w:t>х</w:t>
                  </w:r>
                  <w:r w:rsidRPr="002337D1">
                    <w:rPr>
                      <w:rFonts w:ascii="Times New Roman" w:eastAsia="Times New Roman" w:hAnsi="Times New Roman" w:cs="Times New Roman"/>
                      <w:i/>
                      <w:iCs/>
                      <w:sz w:val="24"/>
                      <w:szCs w:val="24"/>
                      <w:vertAlign w:val="superscript"/>
                    </w:rPr>
                    <w:t>*</w:t>
                  </w:r>
                  <w:r w:rsidRPr="002337D1">
                    <w:rPr>
                      <w:rFonts w:ascii="Times New Roman" w:eastAsia="Times New Roman" w:hAnsi="Times New Roman" w:cs="Times New Roman"/>
                      <w:sz w:val="24"/>
                      <w:szCs w:val="24"/>
                    </w:rPr>
                    <w:t xml:space="preserve">) визначає порядковий номер періоду від дати початку спостережень, у якому будуть виконуватися вихідні умови. Результатом уведення розрахованих значень рішення </w:t>
                  </w:r>
                  <w:r w:rsidRPr="002337D1">
                    <w:rPr>
                      <w:rFonts w:ascii="Times New Roman" w:eastAsia="Times New Roman" w:hAnsi="Times New Roman" w:cs="Times New Roman"/>
                      <w:sz w:val="24"/>
                      <w:szCs w:val="24"/>
                    </w:rPr>
                    <w:lastRenderedPageBreak/>
                    <w:t>векторної оптимізації </w:t>
                  </w:r>
                  <w:r w:rsidRPr="002337D1">
                    <w:rPr>
                      <w:rFonts w:ascii="Times New Roman" w:eastAsia="Times New Roman" w:hAnsi="Times New Roman" w:cs="Times New Roman"/>
                      <w:i/>
                      <w:iCs/>
                      <w:sz w:val="24"/>
                      <w:szCs w:val="24"/>
                    </w:rPr>
                    <w:t>х</w:t>
                  </w:r>
                  <w:r w:rsidRPr="002337D1">
                    <w:rPr>
                      <w:rFonts w:ascii="Times New Roman" w:eastAsia="Times New Roman" w:hAnsi="Times New Roman" w:cs="Times New Roman"/>
                      <w:i/>
                      <w:iCs/>
                      <w:sz w:val="24"/>
                      <w:szCs w:val="24"/>
                      <w:vertAlign w:val="superscript"/>
                    </w:rPr>
                    <w:t>*</w:t>
                  </w:r>
                  <w:r w:rsidRPr="002337D1">
                    <w:rPr>
                      <w:rFonts w:ascii="Times New Roman" w:eastAsia="Times New Roman" w:hAnsi="Times New Roman" w:cs="Times New Roman"/>
                      <w:sz w:val="24"/>
                      <w:szCs w:val="24"/>
                    </w:rPr>
                    <w:t> у вихідні функції є отримання оптимальних значень показників кожного прояву динаміки оборотного капіталу та відповідних оптимальних значень показника "Валовий прибуток".</w:t>
                  </w:r>
                </w:p>
              </w:tc>
            </w:tr>
          </w:tbl>
          <w:p w14:paraId="466901EB" w14:textId="77777777" w:rsidR="002337D1" w:rsidRPr="002337D1" w:rsidRDefault="002337D1" w:rsidP="002337D1">
            <w:pPr>
              <w:spacing w:after="0" w:line="240" w:lineRule="auto"/>
              <w:rPr>
                <w:rFonts w:ascii="Times New Roman" w:eastAsia="Times New Roman" w:hAnsi="Times New Roman" w:cs="Times New Roman"/>
                <w:sz w:val="24"/>
                <w:szCs w:val="24"/>
              </w:rPr>
            </w:pPr>
          </w:p>
        </w:tc>
      </w:tr>
    </w:tbl>
    <w:p w14:paraId="241EC45F" w14:textId="77777777" w:rsidR="002337D1" w:rsidRPr="002337D1" w:rsidRDefault="002337D1" w:rsidP="002337D1"/>
    <w:sectPr w:rsidR="002337D1" w:rsidRPr="002337D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43723" w14:textId="77777777" w:rsidR="0041198F" w:rsidRDefault="0041198F">
      <w:pPr>
        <w:spacing w:after="0" w:line="240" w:lineRule="auto"/>
      </w:pPr>
      <w:r>
        <w:separator/>
      </w:r>
    </w:p>
  </w:endnote>
  <w:endnote w:type="continuationSeparator" w:id="0">
    <w:p w14:paraId="10E28805" w14:textId="77777777" w:rsidR="0041198F" w:rsidRDefault="00411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63CC3" w14:textId="77777777" w:rsidR="0041198F" w:rsidRDefault="0041198F">
      <w:pPr>
        <w:spacing w:after="0" w:line="240" w:lineRule="auto"/>
      </w:pPr>
      <w:r>
        <w:separator/>
      </w:r>
    </w:p>
  </w:footnote>
  <w:footnote w:type="continuationSeparator" w:id="0">
    <w:p w14:paraId="089CBC8C" w14:textId="77777777" w:rsidR="0041198F" w:rsidRDefault="00411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1198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4"/>
  </w:num>
  <w:num w:numId="3">
    <w:abstractNumId w:val="11"/>
  </w:num>
  <w:num w:numId="4">
    <w:abstractNumId w:val="19"/>
  </w:num>
  <w:num w:numId="5">
    <w:abstractNumId w:val="6"/>
  </w:num>
  <w:num w:numId="6">
    <w:abstractNumId w:val="3"/>
  </w:num>
  <w:num w:numId="7">
    <w:abstractNumId w:val="21"/>
  </w:num>
  <w:num w:numId="8">
    <w:abstractNumId w:val="18"/>
  </w:num>
  <w:num w:numId="9">
    <w:abstractNumId w:val="22"/>
  </w:num>
  <w:num w:numId="10">
    <w:abstractNumId w:val="10"/>
  </w:num>
  <w:num w:numId="11">
    <w:abstractNumId w:val="17"/>
  </w:num>
  <w:num w:numId="12">
    <w:abstractNumId w:val="4"/>
  </w:num>
  <w:num w:numId="13">
    <w:abstractNumId w:val="9"/>
  </w:num>
  <w:num w:numId="14">
    <w:abstractNumId w:val="2"/>
  </w:num>
  <w:num w:numId="15">
    <w:abstractNumId w:val="7"/>
  </w:num>
  <w:num w:numId="16">
    <w:abstractNumId w:val="20"/>
  </w:num>
  <w:num w:numId="17">
    <w:abstractNumId w:val="0"/>
  </w:num>
  <w:num w:numId="18">
    <w:abstractNumId w:val="1"/>
  </w:num>
  <w:num w:numId="19">
    <w:abstractNumId w:val="12"/>
  </w:num>
  <w:num w:numId="20">
    <w:abstractNumId w:val="13"/>
  </w:num>
  <w:num w:numId="21">
    <w:abstractNumId w:val="14"/>
  </w:num>
  <w:num w:numId="22">
    <w:abstractNumId w:val="5"/>
  </w:num>
  <w:num w:numId="23">
    <w:abstractNumId w:val="8"/>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98F"/>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80461</TotalTime>
  <Pages>4</Pages>
  <Words>1042</Words>
  <Characters>5944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2148</cp:revision>
  <dcterms:created xsi:type="dcterms:W3CDTF">2024-06-20T08:51:00Z</dcterms:created>
  <dcterms:modified xsi:type="dcterms:W3CDTF">2024-09-13T12:19:00Z</dcterms:modified>
  <cp:category/>
</cp:coreProperties>
</file>