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E962" w14:textId="77777777" w:rsidR="004C71B1" w:rsidRDefault="004C71B1" w:rsidP="004C71B1">
      <w:pPr>
        <w:pStyle w:val="210"/>
        <w:shd w:val="clear" w:color="auto" w:fill="auto"/>
        <w:spacing w:after="152" w:line="280" w:lineRule="exact"/>
        <w:ind w:left="20" w:firstLine="0"/>
      </w:pPr>
      <w:r>
        <w:rPr>
          <w:rStyle w:val="21"/>
          <w:color w:val="000000"/>
        </w:rPr>
        <w:t>Тульский государственный педагогический университет</w:t>
      </w:r>
    </w:p>
    <w:p w14:paraId="28D142BF" w14:textId="77777777" w:rsidR="004C71B1" w:rsidRDefault="004C71B1" w:rsidP="004C71B1">
      <w:pPr>
        <w:pStyle w:val="210"/>
        <w:shd w:val="clear" w:color="auto" w:fill="auto"/>
        <w:spacing w:after="2077" w:line="280" w:lineRule="exact"/>
        <w:ind w:left="20" w:firstLine="0"/>
      </w:pPr>
      <w:r>
        <w:rPr>
          <w:rStyle w:val="21"/>
          <w:color w:val="000000"/>
        </w:rPr>
        <w:t>им. Л.Н.Толстого</w:t>
      </w:r>
    </w:p>
    <w:p w14:paraId="7EFA73D2" w14:textId="77777777" w:rsidR="004C71B1" w:rsidRDefault="004C71B1" w:rsidP="004C71B1">
      <w:pPr>
        <w:pStyle w:val="30"/>
        <w:shd w:val="clear" w:color="auto" w:fill="auto"/>
        <w:spacing w:before="0" w:after="42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693A48B5" w14:textId="77777777" w:rsidR="004C71B1" w:rsidRDefault="004C71B1" w:rsidP="004C71B1">
      <w:pPr>
        <w:pStyle w:val="210"/>
        <w:shd w:val="clear" w:color="auto" w:fill="auto"/>
        <w:spacing w:after="332" w:line="280" w:lineRule="exact"/>
        <w:ind w:left="1620" w:firstLine="0"/>
        <w:jc w:val="left"/>
      </w:pPr>
      <w:r>
        <w:rPr>
          <w:rStyle w:val="21"/>
          <w:color w:val="000000"/>
          <w:lang w:val="uk-UA" w:eastAsia="uk-UA"/>
        </w:rPr>
        <w:t>0420І</w:t>
      </w:r>
      <w:r>
        <w:rPr>
          <w:rStyle w:val="21"/>
          <w:color w:val="000000"/>
        </w:rPr>
        <w:t>054968</w:t>
      </w:r>
    </w:p>
    <w:p w14:paraId="7C0426AF" w14:textId="77777777" w:rsidR="004C71B1" w:rsidRDefault="004C71B1" w:rsidP="004C71B1">
      <w:pPr>
        <w:pStyle w:val="33"/>
        <w:keepNext/>
        <w:keepLines/>
        <w:shd w:val="clear" w:color="auto" w:fill="auto"/>
        <w:spacing w:before="0" w:after="970" w:line="280" w:lineRule="exact"/>
        <w:ind w:left="20"/>
      </w:pPr>
      <w:bookmarkStart w:id="0" w:name="bookmark0"/>
      <w:r>
        <w:rPr>
          <w:rStyle w:val="32"/>
          <w:b/>
          <w:bCs/>
          <w:color w:val="000000"/>
        </w:rPr>
        <w:t>Аникушина Мария Вячеславовна</w:t>
      </w:r>
      <w:bookmarkEnd w:id="0"/>
    </w:p>
    <w:p w14:paraId="464D0D19" w14:textId="77777777" w:rsidR="004C71B1" w:rsidRDefault="004C71B1" w:rsidP="004C71B1">
      <w:pPr>
        <w:pStyle w:val="33"/>
        <w:keepNext/>
        <w:keepLines/>
        <w:shd w:val="clear" w:color="auto" w:fill="auto"/>
        <w:spacing w:before="0" w:after="0" w:line="475" w:lineRule="exact"/>
        <w:ind w:left="20"/>
      </w:pPr>
      <w:bookmarkStart w:id="1" w:name="bookmark1"/>
      <w:r>
        <w:rPr>
          <w:rStyle w:val="32"/>
          <w:b/>
          <w:bCs/>
          <w:color w:val="000000"/>
        </w:rPr>
        <w:t>КОГНИТИВНО-ДИСКУРСИВНЫЕ ОСОБЕННОСТИ</w:t>
      </w:r>
      <w:r>
        <w:rPr>
          <w:rStyle w:val="32"/>
          <w:b/>
          <w:bCs/>
          <w:color w:val="000000"/>
        </w:rPr>
        <w:br/>
        <w:t>СОВРЕМЕННОЙ АНГЛОЯЗЫЧНОЙ ХРИСТИАНСКОЙ</w:t>
      </w:r>
      <w:bookmarkEnd w:id="1"/>
    </w:p>
    <w:p w14:paraId="14FC45EF" w14:textId="77777777" w:rsidR="004C71B1" w:rsidRDefault="004C71B1" w:rsidP="004C71B1">
      <w:pPr>
        <w:pStyle w:val="33"/>
        <w:keepNext/>
        <w:keepLines/>
        <w:shd w:val="clear" w:color="auto" w:fill="auto"/>
        <w:spacing w:before="0" w:after="1196" w:line="475" w:lineRule="exact"/>
        <w:ind w:left="20"/>
      </w:pPr>
      <w:bookmarkStart w:id="2" w:name="bookmark2"/>
      <w:r>
        <w:rPr>
          <w:rStyle w:val="32"/>
          <w:b/>
          <w:bCs/>
          <w:color w:val="000000"/>
        </w:rPr>
        <w:t>ПРОПОВЕДИ</w:t>
      </w:r>
      <w:bookmarkEnd w:id="2"/>
      <w:r>
        <w:rPr>
          <w:rStyle w:val="32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10.02.04- германские языки</w:t>
      </w:r>
    </w:p>
    <w:p w14:paraId="2D13B11A" w14:textId="77777777" w:rsidR="004C71B1" w:rsidRDefault="004C71B1" w:rsidP="004C71B1">
      <w:pPr>
        <w:pStyle w:val="210"/>
        <w:shd w:val="clear" w:color="auto" w:fill="auto"/>
        <w:spacing w:after="0" w:line="480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677DECAA" w14:textId="77777777" w:rsidR="004C71B1" w:rsidRDefault="004C71B1" w:rsidP="004C71B1">
      <w:pPr>
        <w:pStyle w:val="210"/>
        <w:shd w:val="clear" w:color="auto" w:fill="auto"/>
        <w:spacing w:after="904" w:line="480" w:lineRule="exact"/>
        <w:ind w:left="2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филологических наук</w:t>
      </w:r>
    </w:p>
    <w:p w14:paraId="64ED14C4" w14:textId="77777777" w:rsidR="004C71B1" w:rsidRDefault="004C71B1" w:rsidP="004C71B1">
      <w:pPr>
        <w:pStyle w:val="210"/>
        <w:shd w:val="clear" w:color="auto" w:fill="auto"/>
        <w:spacing w:after="1056" w:line="475" w:lineRule="exact"/>
        <w:ind w:left="3960" w:firstLine="0"/>
        <w:jc w:val="right"/>
      </w:pPr>
      <w:r>
        <w:rPr>
          <w:rStyle w:val="21"/>
          <w:color w:val="000000"/>
        </w:rPr>
        <w:t>Научный руководитель: кандидат филологических наук, доцент Жанна Евгеньевна Фомичева</w:t>
      </w:r>
    </w:p>
    <w:p w14:paraId="76428954" w14:textId="77777777" w:rsidR="004C71B1" w:rsidRDefault="004C71B1" w:rsidP="004C71B1">
      <w:pPr>
        <w:pStyle w:val="210"/>
        <w:shd w:val="clear" w:color="auto" w:fill="auto"/>
        <w:spacing w:after="152" w:line="280" w:lineRule="exact"/>
        <w:ind w:left="20" w:firstLine="0"/>
      </w:pPr>
      <w:r>
        <w:rPr>
          <w:rStyle w:val="21"/>
          <w:color w:val="000000"/>
        </w:rPr>
        <w:lastRenderedPageBreak/>
        <w:t>Тула</w:t>
      </w:r>
    </w:p>
    <w:p w14:paraId="719B4B75" w14:textId="77777777" w:rsidR="004C71B1" w:rsidRDefault="004C71B1" w:rsidP="004C71B1">
      <w:pPr>
        <w:pStyle w:val="42"/>
        <w:shd w:val="clear" w:color="auto" w:fill="auto"/>
        <w:spacing w:line="280" w:lineRule="exact"/>
        <w:ind w:left="20"/>
        <w:sectPr w:rsidR="004C71B1">
          <w:footerReference w:type="default" r:id="rId7"/>
          <w:pgSz w:w="11900" w:h="16840"/>
          <w:pgMar w:top="1138" w:right="868" w:bottom="1138" w:left="2412" w:header="0" w:footer="3" w:gutter="0"/>
          <w:cols w:space="720"/>
          <w:noEndnote/>
          <w:titlePg/>
          <w:docGrid w:linePitch="360"/>
        </w:sectPr>
      </w:pPr>
      <w:r>
        <w:rPr>
          <w:rStyle w:val="41"/>
          <w:color w:val="000000"/>
        </w:rPr>
        <w:t>2010</w:t>
      </w:r>
    </w:p>
    <w:p w14:paraId="6DAAAFBA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СОДЕРЖАНИЕ</w:t>
      </w:r>
    </w:p>
    <w:p w14:paraId="482465E3" w14:textId="77777777" w:rsidR="004C71B1" w:rsidRDefault="004C71B1" w:rsidP="004C71B1">
      <w:pPr>
        <w:pStyle w:val="34"/>
        <w:tabs>
          <w:tab w:val="right" w:leader="dot" w:pos="941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4</w:t>
        </w:r>
      </w:hyperlink>
    </w:p>
    <w:p w14:paraId="37657DEC" w14:textId="77777777" w:rsidR="004C71B1" w:rsidRDefault="004C71B1" w:rsidP="004C71B1">
      <w:pPr>
        <w:pStyle w:val="34"/>
        <w:tabs>
          <w:tab w:val="center" w:pos="6442"/>
        </w:tabs>
      </w:pPr>
      <w:r>
        <w:rPr>
          <w:rStyle w:val="35"/>
          <w:color w:val="000000"/>
        </w:rPr>
        <w:t>Глава I. ТЕОРЕТИЧЕСКИЕ ОСНОВЫ</w:t>
      </w:r>
      <w:r>
        <w:rPr>
          <w:rStyle w:val="35"/>
          <w:color w:val="000000"/>
        </w:rPr>
        <w:tab/>
        <w:t>ИЗУЧЕНИЯ ПОНЯТИЯ</w:t>
      </w:r>
    </w:p>
    <w:p w14:paraId="4B9C9303" w14:textId="77777777" w:rsidR="004C71B1" w:rsidRDefault="004C71B1" w:rsidP="004C71B1">
      <w:pPr>
        <w:pStyle w:val="34"/>
        <w:tabs>
          <w:tab w:val="left" w:pos="5750"/>
          <w:tab w:val="left" w:pos="7133"/>
        </w:tabs>
      </w:pPr>
      <w:r>
        <w:rPr>
          <w:rStyle w:val="35"/>
          <w:color w:val="000000"/>
        </w:rPr>
        <w:t>«РЕЛИГИОЗНЫЙ ДИСКУРС»</w:t>
      </w:r>
      <w:r>
        <w:rPr>
          <w:rStyle w:val="35"/>
          <w:color w:val="000000"/>
        </w:rPr>
        <w:tab/>
        <w:t>В</w:t>
      </w:r>
      <w:r>
        <w:rPr>
          <w:rStyle w:val="35"/>
          <w:color w:val="000000"/>
        </w:rPr>
        <w:tab/>
        <w:t>СОВРЕМЕННОЙ</w:t>
      </w:r>
    </w:p>
    <w:p w14:paraId="50C0B07B" w14:textId="77777777" w:rsidR="004C71B1" w:rsidRDefault="004C71B1" w:rsidP="004C71B1">
      <w:pPr>
        <w:pStyle w:val="34"/>
        <w:tabs>
          <w:tab w:val="right" w:leader="dot" w:pos="9415"/>
        </w:tabs>
      </w:pPr>
      <w:r>
        <w:rPr>
          <w:rStyle w:val="35"/>
          <w:color w:val="000000"/>
        </w:rPr>
        <w:t>ЛИНГВИСТИКЕ</w:t>
      </w:r>
      <w:r>
        <w:rPr>
          <w:rStyle w:val="35"/>
          <w:color w:val="000000"/>
        </w:rPr>
        <w:tab/>
        <w:t>12</w:t>
      </w:r>
    </w:p>
    <w:p w14:paraId="0B3F4916" w14:textId="77777777" w:rsidR="004C71B1" w:rsidRDefault="004C71B1" w:rsidP="004C71B1">
      <w:pPr>
        <w:pStyle w:val="34"/>
        <w:tabs>
          <w:tab w:val="center" w:pos="6758"/>
          <w:tab w:val="right" w:leader="dot" w:pos="9415"/>
        </w:tabs>
      </w:pPr>
      <w:hyperlink w:anchor="bookmark5" w:tooltip="Current Document" w:history="1">
        <w:r>
          <w:rPr>
            <w:rStyle w:val="35"/>
            <w:color w:val="000000"/>
          </w:rPr>
          <w:t>1Л. Современные подходы к определению понятия</w:t>
        </w:r>
        <w:r>
          <w:rPr>
            <w:rStyle w:val="35"/>
            <w:color w:val="000000"/>
          </w:rPr>
          <w:tab/>
          <w:t xml:space="preserve">«дискурс» </w:t>
        </w:r>
        <w:r>
          <w:rPr>
            <w:rStyle w:val="35"/>
            <w:color w:val="000000"/>
          </w:rPr>
          <w:tab/>
          <w:t>12</w:t>
        </w:r>
      </w:hyperlink>
    </w:p>
    <w:p w14:paraId="15E381C6" w14:textId="77777777" w:rsidR="004C71B1" w:rsidRDefault="004C71B1" w:rsidP="004C71B1">
      <w:pPr>
        <w:pStyle w:val="34"/>
        <w:widowControl w:val="0"/>
        <w:numPr>
          <w:ilvl w:val="0"/>
          <w:numId w:val="1"/>
        </w:numPr>
        <w:tabs>
          <w:tab w:val="left" w:pos="579"/>
          <w:tab w:val="right" w:leader="dot" w:pos="9415"/>
        </w:tabs>
        <w:spacing w:after="0" w:line="480" w:lineRule="exact"/>
        <w:ind w:left="0"/>
        <w:jc w:val="both"/>
      </w:pPr>
      <w:hyperlink w:anchor="bookmark6" w:tooltip="Current Document" w:history="1">
        <w:r>
          <w:rPr>
            <w:rStyle w:val="35"/>
            <w:color w:val="000000"/>
          </w:rPr>
          <w:t>Соотношение понятий «текст» и «дискурс»</w:t>
        </w:r>
        <w:r>
          <w:rPr>
            <w:rStyle w:val="35"/>
            <w:color w:val="000000"/>
          </w:rPr>
          <w:tab/>
          <w:t>19</w:t>
        </w:r>
      </w:hyperlink>
    </w:p>
    <w:p w14:paraId="53F645EC" w14:textId="77777777" w:rsidR="004C71B1" w:rsidRDefault="004C71B1" w:rsidP="004C71B1">
      <w:pPr>
        <w:pStyle w:val="34"/>
        <w:widowControl w:val="0"/>
        <w:numPr>
          <w:ilvl w:val="0"/>
          <w:numId w:val="1"/>
        </w:numPr>
        <w:tabs>
          <w:tab w:val="left" w:pos="579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Религиозный дискурс как разновидность</w:t>
      </w:r>
    </w:p>
    <w:p w14:paraId="29E54308" w14:textId="77777777" w:rsidR="004C71B1" w:rsidRDefault="004C71B1" w:rsidP="004C71B1">
      <w:pPr>
        <w:pStyle w:val="34"/>
        <w:tabs>
          <w:tab w:val="right" w:leader="dot" w:pos="9415"/>
        </w:tabs>
      </w:pPr>
      <w:r>
        <w:rPr>
          <w:rStyle w:val="35"/>
          <w:color w:val="000000"/>
        </w:rPr>
        <w:t>институционального общения</w:t>
      </w:r>
      <w:r>
        <w:rPr>
          <w:rStyle w:val="35"/>
          <w:color w:val="000000"/>
        </w:rPr>
        <w:tab/>
        <w:t>24</w:t>
      </w:r>
    </w:p>
    <w:p w14:paraId="5B494AA5" w14:textId="77777777" w:rsidR="004C71B1" w:rsidRDefault="004C71B1" w:rsidP="004C71B1">
      <w:pPr>
        <w:pStyle w:val="34"/>
        <w:widowControl w:val="0"/>
        <w:numPr>
          <w:ilvl w:val="0"/>
          <w:numId w:val="2"/>
        </w:numPr>
        <w:tabs>
          <w:tab w:val="left" w:pos="1873"/>
          <w:tab w:val="center" w:pos="6442"/>
        </w:tabs>
        <w:spacing w:after="0" w:line="480" w:lineRule="exact"/>
        <w:ind w:left="860"/>
        <w:jc w:val="both"/>
      </w:pPr>
      <w:r>
        <w:rPr>
          <w:rStyle w:val="35"/>
          <w:color w:val="000000"/>
        </w:rPr>
        <w:t>Специфика коммуникативной</w:t>
      </w:r>
      <w:r>
        <w:rPr>
          <w:rStyle w:val="35"/>
          <w:color w:val="000000"/>
        </w:rPr>
        <w:tab/>
        <w:t>сферы религиозного</w:t>
      </w:r>
    </w:p>
    <w:p w14:paraId="25C17362" w14:textId="77777777" w:rsidR="004C71B1" w:rsidRDefault="004C71B1" w:rsidP="004C71B1">
      <w:pPr>
        <w:pStyle w:val="34"/>
        <w:tabs>
          <w:tab w:val="right" w:leader="dot" w:pos="9415"/>
        </w:tabs>
        <w:ind w:left="1000"/>
      </w:pPr>
      <w:r>
        <w:rPr>
          <w:rStyle w:val="35"/>
          <w:color w:val="000000"/>
        </w:rPr>
        <w:t>дискурса</w:t>
      </w:r>
      <w:r>
        <w:rPr>
          <w:rStyle w:val="35"/>
          <w:color w:val="000000"/>
        </w:rPr>
        <w:tab/>
        <w:t>29</w:t>
      </w:r>
    </w:p>
    <w:p w14:paraId="09744F78" w14:textId="77777777" w:rsidR="004C71B1" w:rsidRDefault="004C71B1" w:rsidP="004C71B1">
      <w:pPr>
        <w:pStyle w:val="34"/>
        <w:widowControl w:val="0"/>
        <w:numPr>
          <w:ilvl w:val="0"/>
          <w:numId w:val="2"/>
        </w:numPr>
        <w:tabs>
          <w:tab w:val="left" w:pos="1650"/>
        </w:tabs>
        <w:spacing w:after="0" w:line="480" w:lineRule="exact"/>
        <w:ind w:left="860"/>
        <w:jc w:val="both"/>
      </w:pPr>
      <w:r>
        <w:rPr>
          <w:rStyle w:val="35"/>
          <w:color w:val="000000"/>
        </w:rPr>
        <w:t>Структурно-функциональные особенности религиозного</w:t>
      </w:r>
    </w:p>
    <w:p w14:paraId="4E197267" w14:textId="77777777" w:rsidR="004C71B1" w:rsidRDefault="004C71B1" w:rsidP="004C71B1">
      <w:pPr>
        <w:pStyle w:val="34"/>
        <w:tabs>
          <w:tab w:val="right" w:leader="dot" w:pos="9415"/>
        </w:tabs>
        <w:ind w:left="1000"/>
      </w:pPr>
      <w:r>
        <w:rPr>
          <w:rStyle w:val="35"/>
          <w:color w:val="000000"/>
        </w:rPr>
        <w:t>дискурса</w:t>
      </w:r>
      <w:r>
        <w:rPr>
          <w:rStyle w:val="35"/>
          <w:color w:val="000000"/>
        </w:rPr>
        <w:tab/>
        <w:t>39</w:t>
      </w:r>
    </w:p>
    <w:p w14:paraId="4146C205" w14:textId="77777777" w:rsidR="004C71B1" w:rsidRDefault="004C71B1" w:rsidP="004C71B1">
      <w:pPr>
        <w:pStyle w:val="34"/>
        <w:tabs>
          <w:tab w:val="right" w:leader="dot" w:pos="9415"/>
        </w:tabs>
        <w:spacing w:after="580"/>
      </w:pPr>
      <w:r>
        <w:rPr>
          <w:rStyle w:val="35"/>
          <w:color w:val="000000"/>
        </w:rPr>
        <w:t>ВЫВОДЫ по главе 1</w:t>
      </w:r>
      <w:r>
        <w:rPr>
          <w:rStyle w:val="35"/>
          <w:color w:val="000000"/>
        </w:rPr>
        <w:tab/>
        <w:t>43</w:t>
      </w:r>
    </w:p>
    <w:p w14:paraId="528E032C" w14:textId="77777777" w:rsidR="004C71B1" w:rsidRDefault="004C71B1" w:rsidP="004C71B1">
      <w:pPr>
        <w:pStyle w:val="34"/>
        <w:spacing w:line="280" w:lineRule="exact"/>
      </w:pPr>
      <w:r>
        <w:rPr>
          <w:rStyle w:val="35"/>
          <w:color w:val="000000"/>
        </w:rPr>
        <w:t>Глава II. ДИСКУРСИВНЫЕ ХАРАКТЕРИСТИКИ СОВРЕМЕННОЙ</w:t>
      </w:r>
    </w:p>
    <w:p w14:paraId="2D1C8228" w14:textId="77777777" w:rsidR="004C71B1" w:rsidRDefault="004C71B1" w:rsidP="004C71B1">
      <w:pPr>
        <w:pStyle w:val="34"/>
        <w:tabs>
          <w:tab w:val="right" w:leader="dot" w:pos="9415"/>
        </w:tabs>
      </w:pPr>
      <w:r>
        <w:rPr>
          <w:rStyle w:val="35"/>
          <w:color w:val="000000"/>
        </w:rPr>
        <w:t>АНГЛОЯЗЫЧНОЙ ХРИСТИАНСКОЙ ПРОПОВЕДИ</w:t>
      </w:r>
      <w:r>
        <w:rPr>
          <w:rStyle w:val="35"/>
          <w:color w:val="000000"/>
        </w:rPr>
        <w:tab/>
        <w:t>46</w:t>
      </w:r>
    </w:p>
    <w:p w14:paraId="39BA03D6" w14:textId="77777777" w:rsidR="004C71B1" w:rsidRDefault="004C71B1" w:rsidP="004C71B1">
      <w:pPr>
        <w:pStyle w:val="34"/>
        <w:widowControl w:val="0"/>
        <w:numPr>
          <w:ilvl w:val="1"/>
          <w:numId w:val="2"/>
        </w:numPr>
        <w:tabs>
          <w:tab w:val="left" w:pos="608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Современная англоязычная христианская проповедь: определение,</w:t>
      </w:r>
    </w:p>
    <w:p w14:paraId="3031F146" w14:textId="77777777" w:rsidR="004C71B1" w:rsidRDefault="004C71B1" w:rsidP="004C71B1">
      <w:pPr>
        <w:pStyle w:val="34"/>
        <w:tabs>
          <w:tab w:val="right" w:leader="dot" w:pos="9415"/>
        </w:tabs>
      </w:pPr>
      <w:r>
        <w:rPr>
          <w:rStyle w:val="35"/>
          <w:color w:val="000000"/>
        </w:rPr>
        <w:t>виды, специфика</w:t>
      </w:r>
      <w:r>
        <w:rPr>
          <w:rStyle w:val="35"/>
          <w:color w:val="000000"/>
        </w:rPr>
        <w:tab/>
        <w:t>46</w:t>
      </w:r>
    </w:p>
    <w:p w14:paraId="0701DDAE" w14:textId="77777777" w:rsidR="004C71B1" w:rsidRDefault="004C71B1" w:rsidP="004C71B1">
      <w:pPr>
        <w:pStyle w:val="34"/>
        <w:widowControl w:val="0"/>
        <w:numPr>
          <w:ilvl w:val="1"/>
          <w:numId w:val="2"/>
        </w:numPr>
        <w:tabs>
          <w:tab w:val="left" w:pos="608"/>
          <w:tab w:val="right" w:leader="dot" w:pos="9415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Жанровое пространство проповеди</w:t>
      </w:r>
      <w:r>
        <w:rPr>
          <w:rStyle w:val="35"/>
          <w:color w:val="000000"/>
        </w:rPr>
        <w:tab/>
        <w:t>55</w:t>
      </w:r>
    </w:p>
    <w:p w14:paraId="6DA2081E" w14:textId="77777777" w:rsidR="004C71B1" w:rsidRDefault="004C71B1" w:rsidP="004C71B1">
      <w:pPr>
        <w:pStyle w:val="34"/>
        <w:widowControl w:val="0"/>
        <w:numPr>
          <w:ilvl w:val="1"/>
          <w:numId w:val="2"/>
        </w:numPr>
        <w:tabs>
          <w:tab w:val="left" w:pos="608"/>
          <w:tab w:val="right" w:leader="dot" w:pos="9415"/>
        </w:tabs>
        <w:spacing w:after="0" w:line="480" w:lineRule="exact"/>
        <w:ind w:left="0"/>
        <w:jc w:val="both"/>
      </w:pPr>
      <w:hyperlink w:anchor="bookmark18" w:tooltip="Current Document" w:history="1">
        <w:r>
          <w:rPr>
            <w:rStyle w:val="35"/>
            <w:color w:val="000000"/>
          </w:rPr>
          <w:t>Структурные особенности проповеди</w:t>
        </w:r>
        <w:r>
          <w:rPr>
            <w:rStyle w:val="35"/>
            <w:color w:val="000000"/>
          </w:rPr>
          <w:tab/>
          <w:t>62</w:t>
        </w:r>
      </w:hyperlink>
    </w:p>
    <w:p w14:paraId="7C1E51AB" w14:textId="77777777" w:rsidR="004C71B1" w:rsidRDefault="004C71B1" w:rsidP="004C71B1">
      <w:pPr>
        <w:pStyle w:val="34"/>
        <w:widowControl w:val="0"/>
        <w:numPr>
          <w:ilvl w:val="2"/>
          <w:numId w:val="2"/>
        </w:numPr>
        <w:tabs>
          <w:tab w:val="left" w:pos="1459"/>
          <w:tab w:val="right" w:leader="dot" w:pos="9415"/>
        </w:tabs>
        <w:spacing w:after="0" w:line="480" w:lineRule="exact"/>
        <w:ind w:left="640"/>
        <w:jc w:val="both"/>
      </w:pPr>
      <w:hyperlink w:anchor="bookmark19" w:tooltip="Current Document" w:history="1">
        <w:r>
          <w:rPr>
            <w:rStyle w:val="35"/>
            <w:color w:val="000000"/>
          </w:rPr>
          <w:t>Композиционные элементы проповеди</w:t>
        </w:r>
        <w:r>
          <w:rPr>
            <w:rStyle w:val="35"/>
            <w:color w:val="000000"/>
          </w:rPr>
          <w:tab/>
          <w:t>62</w:t>
        </w:r>
      </w:hyperlink>
    </w:p>
    <w:p w14:paraId="3230072E" w14:textId="77777777" w:rsidR="004C71B1" w:rsidRDefault="004C71B1" w:rsidP="004C71B1">
      <w:pPr>
        <w:pStyle w:val="34"/>
        <w:widowControl w:val="0"/>
        <w:numPr>
          <w:ilvl w:val="2"/>
          <w:numId w:val="2"/>
        </w:numPr>
        <w:tabs>
          <w:tab w:val="left" w:pos="1459"/>
          <w:tab w:val="right" w:leader="dot" w:pos="9415"/>
        </w:tabs>
        <w:spacing w:after="0" w:line="480" w:lineRule="exact"/>
        <w:ind w:left="640"/>
        <w:jc w:val="both"/>
      </w:pPr>
      <w:hyperlink w:anchor="bookmark20" w:tooltip="Current Document" w:history="1">
        <w:r>
          <w:rPr>
            <w:rStyle w:val="35"/>
            <w:color w:val="000000"/>
          </w:rPr>
          <w:t>Абзац как элемент глобальной структуры проповеди</w:t>
        </w:r>
        <w:r>
          <w:rPr>
            <w:rStyle w:val="35"/>
            <w:color w:val="000000"/>
          </w:rPr>
          <w:tab/>
          <w:t>71</w:t>
        </w:r>
      </w:hyperlink>
    </w:p>
    <w:p w14:paraId="77904580" w14:textId="77777777" w:rsidR="004C71B1" w:rsidRDefault="004C71B1" w:rsidP="004C71B1">
      <w:pPr>
        <w:pStyle w:val="34"/>
        <w:tabs>
          <w:tab w:val="right" w:leader="dot" w:pos="9415"/>
        </w:tabs>
        <w:spacing w:after="420"/>
      </w:pPr>
      <w:r>
        <w:rPr>
          <w:rStyle w:val="35"/>
          <w:color w:val="000000"/>
        </w:rPr>
        <w:t>ВЫВОДЫ по главе II</w:t>
      </w:r>
      <w:r>
        <w:rPr>
          <w:rStyle w:val="35"/>
          <w:color w:val="000000"/>
        </w:rPr>
        <w:tab/>
        <w:t>80</w:t>
      </w:r>
    </w:p>
    <w:p w14:paraId="74C73EE0" w14:textId="77777777" w:rsidR="004C71B1" w:rsidRDefault="004C71B1" w:rsidP="004C71B1">
      <w:pPr>
        <w:pStyle w:val="34"/>
        <w:tabs>
          <w:tab w:val="left" w:pos="3322"/>
          <w:tab w:val="left" w:pos="6902"/>
        </w:tabs>
        <w:ind w:right="140"/>
      </w:pPr>
      <w:r>
        <w:rPr>
          <w:rStyle w:val="35"/>
          <w:color w:val="000000"/>
        </w:rPr>
        <w:t>Глава Ш. КОГНИТИВНО-ДИСКУРСИВНЫЕ ОСОБЕННОСТИ СОВРЕМЕННОЙ</w:t>
      </w:r>
      <w:r>
        <w:rPr>
          <w:rStyle w:val="35"/>
          <w:color w:val="000000"/>
        </w:rPr>
        <w:tab/>
        <w:t>АНГЛОЯЗЫЧНОЙ</w:t>
      </w:r>
      <w:r>
        <w:rPr>
          <w:rStyle w:val="35"/>
          <w:color w:val="000000"/>
        </w:rPr>
        <w:tab/>
        <w:t>ХРИСТИАНСКОЙ</w:t>
      </w:r>
    </w:p>
    <w:p w14:paraId="1AC40F7D" w14:textId="77777777" w:rsidR="004C71B1" w:rsidRDefault="004C71B1" w:rsidP="004C71B1">
      <w:pPr>
        <w:pStyle w:val="34"/>
        <w:tabs>
          <w:tab w:val="left" w:leader="dot" w:pos="8976"/>
        </w:tabs>
      </w:pPr>
      <w:hyperlink w:anchor="bookmark22" w:tooltip="Current Document" w:history="1">
        <w:r>
          <w:rPr>
            <w:rStyle w:val="35"/>
            <w:color w:val="000000"/>
          </w:rPr>
          <w:t>ПРОПОВЕДИ: ФУНКЦИОНАЛЬНЫЙ АСПЕКТ</w:t>
        </w:r>
        <w:r>
          <w:rPr>
            <w:rStyle w:val="35"/>
            <w:color w:val="000000"/>
          </w:rPr>
          <w:tab/>
          <w:t>82</w:t>
        </w:r>
      </w:hyperlink>
    </w:p>
    <w:p w14:paraId="6E92E87A" w14:textId="77777777" w:rsidR="004C71B1" w:rsidRDefault="004C71B1" w:rsidP="004C71B1">
      <w:pPr>
        <w:pStyle w:val="34"/>
        <w:widowControl w:val="0"/>
        <w:numPr>
          <w:ilvl w:val="0"/>
          <w:numId w:val="3"/>
        </w:numPr>
        <w:tabs>
          <w:tab w:val="left" w:pos="710"/>
          <w:tab w:val="left" w:leader="dot" w:pos="8976"/>
        </w:tabs>
        <w:spacing w:after="0" w:line="480" w:lineRule="exact"/>
        <w:ind w:left="0"/>
        <w:sectPr w:rsidR="004C71B1">
          <w:pgSz w:w="11900" w:h="16840"/>
          <w:pgMar w:top="1114" w:right="767" w:bottom="1114" w:left="1485" w:header="0" w:footer="3" w:gutter="0"/>
          <w:cols w:space="720"/>
          <w:noEndnote/>
          <w:docGrid w:linePitch="360"/>
        </w:sectPr>
      </w:pPr>
      <w:r>
        <w:rPr>
          <w:rStyle w:val="35"/>
          <w:color w:val="000000"/>
        </w:rPr>
        <w:t>Обусловленность когнитивно-дискурсивных особенностей проповеди ее функциональными свойствами</w:t>
      </w:r>
      <w:r>
        <w:rPr>
          <w:rStyle w:val="35"/>
          <w:color w:val="000000"/>
        </w:rPr>
        <w:tab/>
        <w:t>82</w:t>
      </w:r>
    </w:p>
    <w:p w14:paraId="14ED87C2" w14:textId="77777777" w:rsidR="004C71B1" w:rsidRDefault="004C71B1" w:rsidP="004C71B1">
      <w:pPr>
        <w:pStyle w:val="210"/>
        <w:numPr>
          <w:ilvl w:val="0"/>
          <w:numId w:val="3"/>
        </w:numPr>
        <w:shd w:val="clear" w:color="auto" w:fill="auto"/>
        <w:tabs>
          <w:tab w:val="left" w:pos="594"/>
        </w:tabs>
        <w:spacing w:before="0" w:after="6" w:line="280" w:lineRule="exact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Реализация фатической функции проповеди через вступительную</w:t>
      </w:r>
    </w:p>
    <w:p w14:paraId="777DE5A1" w14:textId="77777777" w:rsidR="004C71B1" w:rsidRDefault="004C71B1" w:rsidP="004C71B1">
      <w:pPr>
        <w:pStyle w:val="34"/>
        <w:tabs>
          <w:tab w:val="right" w:leader="dot" w:pos="944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часть</w:t>
      </w:r>
      <w:r>
        <w:rPr>
          <w:rStyle w:val="35"/>
          <w:color w:val="000000"/>
        </w:rPr>
        <w:tab/>
        <w:t>87</w:t>
      </w:r>
    </w:p>
    <w:p w14:paraId="33DF4E9F" w14:textId="77777777" w:rsidR="004C71B1" w:rsidRDefault="004C71B1" w:rsidP="004C71B1">
      <w:pPr>
        <w:pStyle w:val="34"/>
        <w:widowControl w:val="0"/>
        <w:numPr>
          <w:ilvl w:val="0"/>
          <w:numId w:val="3"/>
        </w:numPr>
        <w:tabs>
          <w:tab w:val="left" w:pos="598"/>
          <w:tab w:val="center" w:pos="7766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Взаимосвязь эмоционально-экспрессивной функции</w:t>
      </w:r>
      <w:r>
        <w:rPr>
          <w:rStyle w:val="35"/>
          <w:color w:val="000000"/>
        </w:rPr>
        <w:tab/>
        <w:t>проповеди и ее</w:t>
      </w:r>
    </w:p>
    <w:p w14:paraId="18D7EA6D" w14:textId="77777777" w:rsidR="004C71B1" w:rsidRDefault="004C71B1" w:rsidP="004C71B1">
      <w:pPr>
        <w:pStyle w:val="34"/>
        <w:tabs>
          <w:tab w:val="right" w:leader="dot" w:pos="9447"/>
        </w:tabs>
      </w:pPr>
      <w:r>
        <w:rPr>
          <w:rStyle w:val="35"/>
          <w:color w:val="000000"/>
        </w:rPr>
        <w:t>лингвокогнитивных характеристик</w:t>
      </w:r>
      <w:r>
        <w:rPr>
          <w:rStyle w:val="35"/>
          <w:color w:val="000000"/>
        </w:rPr>
        <w:tab/>
        <w:t>95</w:t>
      </w:r>
    </w:p>
    <w:p w14:paraId="2E492812" w14:textId="77777777" w:rsidR="004C71B1" w:rsidRDefault="004C71B1" w:rsidP="004C71B1">
      <w:pPr>
        <w:pStyle w:val="34"/>
        <w:widowControl w:val="0"/>
        <w:numPr>
          <w:ilvl w:val="0"/>
          <w:numId w:val="10"/>
        </w:numPr>
        <w:tabs>
          <w:tab w:val="left" w:pos="1964"/>
        </w:tabs>
        <w:spacing w:after="0" w:line="480" w:lineRule="exact"/>
        <w:ind w:left="1140"/>
        <w:jc w:val="both"/>
      </w:pPr>
      <w:r>
        <w:rPr>
          <w:rStyle w:val="35"/>
          <w:color w:val="000000"/>
        </w:rPr>
        <w:t>Функционирование концептуальной метафоры в тексте</w:t>
      </w:r>
    </w:p>
    <w:p w14:paraId="47931786" w14:textId="77777777" w:rsidR="004C71B1" w:rsidRDefault="004C71B1" w:rsidP="004C71B1">
      <w:pPr>
        <w:pStyle w:val="34"/>
        <w:tabs>
          <w:tab w:val="right" w:leader="dot" w:pos="9447"/>
        </w:tabs>
        <w:ind w:left="1140"/>
      </w:pPr>
      <w:hyperlink w:anchor="bookmark2" w:tooltip="Current Document" w:history="1">
        <w:r>
          <w:rPr>
            <w:rStyle w:val="35"/>
            <w:color w:val="000000"/>
          </w:rPr>
          <w:t>проповеди</w:t>
        </w:r>
        <w:r>
          <w:rPr>
            <w:rStyle w:val="35"/>
            <w:color w:val="000000"/>
          </w:rPr>
          <w:tab/>
          <w:t>95</w:t>
        </w:r>
      </w:hyperlink>
    </w:p>
    <w:p w14:paraId="70FA597A" w14:textId="77777777" w:rsidR="004C71B1" w:rsidRDefault="004C71B1" w:rsidP="004C71B1">
      <w:pPr>
        <w:pStyle w:val="34"/>
        <w:widowControl w:val="0"/>
        <w:numPr>
          <w:ilvl w:val="0"/>
          <w:numId w:val="10"/>
        </w:numPr>
        <w:tabs>
          <w:tab w:val="left" w:pos="1969"/>
        </w:tabs>
        <w:spacing w:after="0" w:line="480" w:lineRule="exact"/>
        <w:ind w:left="1140"/>
        <w:jc w:val="both"/>
      </w:pPr>
      <w:r>
        <w:rPr>
          <w:rStyle w:val="35"/>
          <w:color w:val="000000"/>
        </w:rPr>
        <w:t>Лингвистические аспекты обозначения эмоций в</w:t>
      </w:r>
    </w:p>
    <w:p w14:paraId="4F478971" w14:textId="77777777" w:rsidR="004C71B1" w:rsidRDefault="004C71B1" w:rsidP="004C71B1">
      <w:pPr>
        <w:pStyle w:val="34"/>
        <w:tabs>
          <w:tab w:val="right" w:leader="dot" w:pos="9447"/>
        </w:tabs>
        <w:ind w:left="1140"/>
      </w:pPr>
      <w:hyperlink w:anchor="bookmark12" w:tooltip="Current Document" w:history="1">
        <w:r>
          <w:rPr>
            <w:rStyle w:val="35"/>
            <w:color w:val="000000"/>
          </w:rPr>
          <w:t>проповеди</w:t>
        </w:r>
        <w:r>
          <w:rPr>
            <w:rStyle w:val="35"/>
            <w:color w:val="000000"/>
          </w:rPr>
          <w:tab/>
          <w:t>107</w:t>
        </w:r>
      </w:hyperlink>
    </w:p>
    <w:p w14:paraId="06709217" w14:textId="77777777" w:rsidR="004C71B1" w:rsidRDefault="004C71B1" w:rsidP="004C71B1">
      <w:pPr>
        <w:pStyle w:val="34"/>
        <w:widowControl w:val="0"/>
        <w:numPr>
          <w:ilvl w:val="0"/>
          <w:numId w:val="3"/>
        </w:numPr>
        <w:tabs>
          <w:tab w:val="left" w:pos="603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Реализация репрезентативной функции проповеди посредством</w:t>
      </w:r>
    </w:p>
    <w:p w14:paraId="27A12E42" w14:textId="77777777" w:rsidR="004C71B1" w:rsidRDefault="004C71B1" w:rsidP="004C71B1">
      <w:pPr>
        <w:pStyle w:val="34"/>
        <w:tabs>
          <w:tab w:val="right" w:leader="dot" w:pos="9447"/>
        </w:tabs>
      </w:pPr>
      <w:r>
        <w:rPr>
          <w:rStyle w:val="35"/>
          <w:color w:val="000000"/>
        </w:rPr>
        <w:t xml:space="preserve">базисного концепта </w:t>
      </w:r>
      <w:r>
        <w:rPr>
          <w:rStyle w:val="35"/>
          <w:color w:val="000000"/>
          <w:lang w:val="en-US" w:eastAsia="en-US"/>
        </w:rPr>
        <w:t>«GOD»</w:t>
      </w:r>
      <w:r>
        <w:rPr>
          <w:rStyle w:val="35"/>
          <w:color w:val="000000"/>
        </w:rPr>
        <w:tab/>
        <w:t>120</w:t>
      </w:r>
    </w:p>
    <w:p w14:paraId="6D7872C4" w14:textId="77777777" w:rsidR="004C71B1" w:rsidRDefault="004C71B1" w:rsidP="004C71B1">
      <w:pPr>
        <w:pStyle w:val="34"/>
        <w:widowControl w:val="0"/>
        <w:numPr>
          <w:ilvl w:val="0"/>
          <w:numId w:val="3"/>
        </w:numPr>
        <w:tabs>
          <w:tab w:val="left" w:pos="603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Роль языковых средств метагендерной адресации в осуществлении</w:t>
      </w:r>
    </w:p>
    <w:p w14:paraId="40D7AC69" w14:textId="77777777" w:rsidR="004C71B1" w:rsidRDefault="004C71B1" w:rsidP="004C71B1">
      <w:pPr>
        <w:pStyle w:val="34"/>
        <w:tabs>
          <w:tab w:val="right" w:leader="dot" w:pos="9447"/>
        </w:tabs>
      </w:pPr>
      <w:r>
        <w:rPr>
          <w:rStyle w:val="35"/>
          <w:color w:val="000000"/>
        </w:rPr>
        <w:t xml:space="preserve">апеллятивной и объединяющей функций проповеди </w:t>
      </w:r>
      <w:r>
        <w:rPr>
          <w:rStyle w:val="35"/>
          <w:color w:val="000000"/>
        </w:rPr>
        <w:tab/>
        <w:t>136</w:t>
      </w:r>
    </w:p>
    <w:p w14:paraId="2CFDFE81" w14:textId="77777777" w:rsidR="004C71B1" w:rsidRDefault="004C71B1" w:rsidP="004C71B1">
      <w:pPr>
        <w:pStyle w:val="34"/>
        <w:tabs>
          <w:tab w:val="right" w:leader="dot" w:pos="9447"/>
        </w:tabs>
      </w:pPr>
      <w:hyperlink w:anchor="bookmark27" w:tooltip="Current Document" w:history="1">
        <w:r>
          <w:rPr>
            <w:rStyle w:val="35"/>
            <w:color w:val="000000"/>
          </w:rPr>
          <w:t>ВЫВОДЫ по главе III</w:t>
        </w:r>
        <w:r>
          <w:rPr>
            <w:rStyle w:val="35"/>
            <w:color w:val="000000"/>
          </w:rPr>
          <w:tab/>
          <w:t>149</w:t>
        </w:r>
      </w:hyperlink>
    </w:p>
    <w:p w14:paraId="271963D8" w14:textId="77777777" w:rsidR="004C71B1" w:rsidRDefault="004C71B1" w:rsidP="004C71B1">
      <w:pPr>
        <w:pStyle w:val="34"/>
        <w:tabs>
          <w:tab w:val="right" w:leader="dot" w:pos="9447"/>
        </w:tabs>
      </w:pPr>
      <w:hyperlink w:anchor="bookmark28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152</w:t>
        </w:r>
      </w:hyperlink>
    </w:p>
    <w:p w14:paraId="14182C2A" w14:textId="77777777" w:rsidR="004C71B1" w:rsidRDefault="004C71B1" w:rsidP="004C71B1">
      <w:pPr>
        <w:pStyle w:val="34"/>
        <w:tabs>
          <w:tab w:val="right" w:leader="dot" w:pos="9447"/>
        </w:tabs>
      </w:pPr>
      <w:hyperlink w:anchor="bookmark29" w:tooltip="Current Document" w:history="1">
        <w:r>
          <w:rPr>
            <w:rStyle w:val="35"/>
            <w:color w:val="000000"/>
          </w:rPr>
          <w:t>СПИСОК ЛИТЕРАТУРЫ</w:t>
        </w:r>
        <w:r>
          <w:rPr>
            <w:rStyle w:val="35"/>
            <w:color w:val="000000"/>
          </w:rPr>
          <w:tab/>
          <w:t>157</w:t>
        </w:r>
      </w:hyperlink>
    </w:p>
    <w:p w14:paraId="7E6300CD" w14:textId="77777777" w:rsidR="004C71B1" w:rsidRDefault="004C71B1" w:rsidP="004C71B1">
      <w:pPr>
        <w:pStyle w:val="34"/>
        <w:tabs>
          <w:tab w:val="right" w:leader="dot" w:pos="9447"/>
        </w:tabs>
      </w:pPr>
      <w:hyperlink w:anchor="bookmark30" w:tooltip="Current Document" w:history="1">
        <w:r>
          <w:rPr>
            <w:rStyle w:val="35"/>
            <w:color w:val="000000"/>
          </w:rPr>
          <w:t xml:space="preserve">СПИСОК СЛОВАРЕЙ </w:t>
        </w:r>
        <w:r>
          <w:rPr>
            <w:rStyle w:val="35"/>
            <w:color w:val="000000"/>
          </w:rPr>
          <w:tab/>
          <w:t>171</w:t>
        </w:r>
      </w:hyperlink>
    </w:p>
    <w:p w14:paraId="3722A57F" w14:textId="77777777" w:rsidR="004C71B1" w:rsidRDefault="004C71B1" w:rsidP="004C71B1">
      <w:pPr>
        <w:pStyle w:val="34"/>
        <w:tabs>
          <w:tab w:val="right" w:leader="dot" w:pos="9447"/>
        </w:tabs>
      </w:pPr>
      <w:hyperlink w:anchor="bookmark31" w:tooltip="Current Document" w:history="1">
        <w:r>
          <w:rPr>
            <w:rStyle w:val="35"/>
            <w:color w:val="000000"/>
          </w:rPr>
          <w:t>СПИСОК ИСТОЧНИКОВ МАТЕРИАЛА ИССЛЕДОВАНИЯ</w:t>
        </w:r>
        <w:r>
          <w:rPr>
            <w:rStyle w:val="35"/>
            <w:color w:val="000000"/>
          </w:rPr>
          <w:tab/>
          <w:t>172</w:t>
        </w:r>
      </w:hyperlink>
    </w:p>
    <w:p w14:paraId="4733B7B4" w14:textId="77777777" w:rsidR="004C71B1" w:rsidRDefault="004C71B1" w:rsidP="004C71B1">
      <w:pPr>
        <w:pStyle w:val="34"/>
        <w:tabs>
          <w:tab w:val="right" w:leader="dot" w:pos="9447"/>
        </w:tabs>
      </w:pPr>
      <w:r>
        <w:rPr>
          <w:rStyle w:val="35"/>
          <w:color w:val="000000"/>
        </w:rPr>
        <w:t>ПРИЛОЖЕНИЕ. Некоторые тексты исследуемых проповедей</w:t>
      </w:r>
      <w:r>
        <w:rPr>
          <w:rStyle w:val="35"/>
          <w:color w:val="000000"/>
        </w:rPr>
        <w:tab/>
        <w:t>181</w:t>
      </w:r>
    </w:p>
    <w:p w14:paraId="5FAD1F75" w14:textId="2EEAF52F" w:rsidR="00C1100D" w:rsidRDefault="004C71B1" w:rsidP="004C71B1">
      <w:r>
        <w:fldChar w:fldCharType="end"/>
      </w:r>
    </w:p>
    <w:p w14:paraId="06CCD1E9" w14:textId="6329D343" w:rsidR="004C71B1" w:rsidRDefault="004C71B1" w:rsidP="004C71B1"/>
    <w:p w14:paraId="569A93DF" w14:textId="216C3B06" w:rsidR="004C71B1" w:rsidRDefault="004C71B1" w:rsidP="004C71B1"/>
    <w:p w14:paraId="548A9CD3" w14:textId="77777777" w:rsidR="004C71B1" w:rsidRDefault="004C71B1" w:rsidP="004C71B1">
      <w:pPr>
        <w:pStyle w:val="33"/>
        <w:keepNext/>
        <w:keepLines/>
        <w:shd w:val="clear" w:color="auto" w:fill="auto"/>
        <w:spacing w:before="0" w:after="472" w:line="280" w:lineRule="exact"/>
        <w:ind w:left="20"/>
      </w:pPr>
      <w:bookmarkStart w:id="3" w:name="bookmark28"/>
      <w:r>
        <w:rPr>
          <w:rStyle w:val="32"/>
          <w:b/>
          <w:bCs/>
          <w:color w:val="000000"/>
        </w:rPr>
        <w:t>ЗАКЛЮЧЕНИЕ</w:t>
      </w:r>
      <w:bookmarkEnd w:id="3"/>
    </w:p>
    <w:p w14:paraId="64AF3C9E" w14:textId="77777777" w:rsidR="004C71B1" w:rsidRDefault="004C71B1" w:rsidP="004C71B1">
      <w:pPr>
        <w:pStyle w:val="210"/>
        <w:shd w:val="clear" w:color="auto" w:fill="auto"/>
        <w:tabs>
          <w:tab w:val="left" w:pos="2793"/>
          <w:tab w:val="right" w:pos="9509"/>
        </w:tabs>
        <w:spacing w:after="0" w:line="480" w:lineRule="exact"/>
        <w:ind w:firstLine="940"/>
        <w:jc w:val="both"/>
      </w:pPr>
      <w:r>
        <w:rPr>
          <w:rStyle w:val="21"/>
          <w:color w:val="000000"/>
        </w:rPr>
        <w:t>Проведенное</w:t>
      </w:r>
      <w:r>
        <w:rPr>
          <w:rStyle w:val="21"/>
          <w:color w:val="000000"/>
        </w:rPr>
        <w:tab/>
        <w:t>диссертационное исследование</w:t>
      </w:r>
      <w:r>
        <w:rPr>
          <w:rStyle w:val="21"/>
          <w:color w:val="000000"/>
        </w:rPr>
        <w:tab/>
        <w:t>показало, что с</w:t>
      </w:r>
    </w:p>
    <w:p w14:paraId="31B55DCE" w14:textId="77777777" w:rsidR="004C71B1" w:rsidRDefault="004C71B1" w:rsidP="004C71B1">
      <w:pPr>
        <w:pStyle w:val="210"/>
        <w:shd w:val="clear" w:color="auto" w:fill="auto"/>
        <w:tabs>
          <w:tab w:val="left" w:pos="5386"/>
          <w:tab w:val="right" w:pos="9509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позиции когнитивно-дискурсивного подхода современная англоязычная христианская проповедь как жанр религиозного дискурса представляет собой сложный коммуникативно-культурный феномен с набором эксплицитно и имплицитно выраженных ценностей и установок, специфичной концептосферой,</w:t>
      </w:r>
      <w:r>
        <w:rPr>
          <w:rStyle w:val="21"/>
          <w:color w:val="000000"/>
        </w:rPr>
        <w:tab/>
        <w:t>структурой,</w:t>
      </w:r>
      <w:r>
        <w:rPr>
          <w:rStyle w:val="21"/>
          <w:color w:val="000000"/>
        </w:rPr>
        <w:tab/>
        <w:t>функциональной</w:t>
      </w:r>
    </w:p>
    <w:p w14:paraId="15DC6A9A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направленностью.</w:t>
      </w:r>
    </w:p>
    <w:p w14:paraId="43F2435A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>В соответствии с поставленной целью и задачами исследование проводилось поэтапно от изучения общих проблем религиозного дискурса, его коммуникативных характеристик до комплексного исследования взаимосвязи функциональных и когнитивно-дискурсивных особенностей современной англоязычной христианской проповеди как особого жанра институционального религиозного дискурса.</w:t>
      </w:r>
    </w:p>
    <w:p w14:paraId="400EB062" w14:textId="77777777" w:rsidR="004C71B1" w:rsidRDefault="004C71B1" w:rsidP="004C71B1">
      <w:pPr>
        <w:pStyle w:val="210"/>
        <w:shd w:val="clear" w:color="auto" w:fill="auto"/>
        <w:tabs>
          <w:tab w:val="left" w:pos="2793"/>
          <w:tab w:val="right" w:pos="9509"/>
        </w:tabs>
        <w:spacing w:after="0" w:line="480" w:lineRule="exact"/>
        <w:ind w:firstLine="940"/>
        <w:jc w:val="both"/>
      </w:pPr>
      <w:r>
        <w:rPr>
          <w:rStyle w:val="21"/>
          <w:color w:val="000000"/>
        </w:rPr>
        <w:t>В первую очередь было выявлено соотношение понятий текст и дискурс, заключающееся в динамическом характере явления дискурс в совокупности с</w:t>
      </w:r>
      <w:r>
        <w:rPr>
          <w:rStyle w:val="21"/>
          <w:color w:val="000000"/>
        </w:rPr>
        <w:tab/>
        <w:t>экстралингвистическими -</w:t>
      </w:r>
      <w:r>
        <w:rPr>
          <w:rStyle w:val="21"/>
          <w:color w:val="000000"/>
        </w:rPr>
        <w:tab/>
        <w:t>прагматическими,</w:t>
      </w:r>
    </w:p>
    <w:p w14:paraId="0E916D88" w14:textId="77777777" w:rsidR="004C71B1" w:rsidRDefault="004C71B1" w:rsidP="004C71B1">
      <w:pPr>
        <w:pStyle w:val="210"/>
        <w:shd w:val="clear" w:color="auto" w:fill="auto"/>
        <w:tabs>
          <w:tab w:val="left" w:pos="2793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социокультурными</w:t>
      </w:r>
      <w:r>
        <w:rPr>
          <w:rStyle w:val="21"/>
          <w:color w:val="000000"/>
        </w:rPr>
        <w:tab/>
        <w:t>и другими факторами, в противоположность</w:t>
      </w:r>
    </w:p>
    <w:p w14:paraId="7C23AA48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статистическому характеру явления текст, рассматриваемому как продукт языковой деятельности. Следовательно, понятие дискурс представляется гораздо шире понятия текст и предполагает включение не только речевых, но и невербальных актов коммуникации, что придает большую иллокутивную силу высказываниям участников.</w:t>
      </w:r>
    </w:p>
    <w:p w14:paraId="7F488EFA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 xml:space="preserve">Обращение к религиозному дискурсу как совокупности речевых актов, используемых в религиозной сфере, а также набору определенных действий, ориентированных на приобщение человека к вере, предполагает рассмотрение его структуры, состоящей из участников общения, хронотопа, цели, ценностей, </w:t>
      </w:r>
      <w:r>
        <w:rPr>
          <w:rStyle w:val="21"/>
          <w:color w:val="000000"/>
        </w:rPr>
        <w:lastRenderedPageBreak/>
        <w:t>стратегий, материала, разновидностей и жанров, прецедентных текстов и дискурсивных формул.</w:t>
      </w:r>
    </w:p>
    <w:p w14:paraId="1DA212B8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В диссертации была предпринята попытка отразить специфику фидеистического общения в религиозной сфере, характеризующегося тематической связностью, ситуативной обусловленностью, динамичностью, социальной ориентацией, неоднородной структурированностью, недискретностью.</w:t>
      </w:r>
    </w:p>
    <w:p w14:paraId="6DB4E718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Современная англоязычная христианская проповедь как жанр религиозного дискурса и специфический вид речевой коммуникации побуждает верующих к определенному действию в религиозной сфере, деятельности посредством сообщения им необходимых догм христианского вероучения.</w:t>
      </w:r>
    </w:p>
    <w:p w14:paraId="50128425" w14:textId="77777777" w:rsidR="004C71B1" w:rsidRDefault="004C71B1" w:rsidP="004C71B1">
      <w:pPr>
        <w:pStyle w:val="210"/>
        <w:shd w:val="clear" w:color="auto" w:fill="auto"/>
        <w:tabs>
          <w:tab w:val="left" w:pos="8611"/>
        </w:tabs>
        <w:spacing w:after="0" w:line="480" w:lineRule="exact"/>
        <w:ind w:firstLine="920"/>
        <w:jc w:val="both"/>
      </w:pPr>
      <w:r>
        <w:rPr>
          <w:rStyle w:val="21"/>
          <w:color w:val="000000"/>
        </w:rPr>
        <w:t>Сущность жанрового пространства проповеди заключается в ее функциональном дуализме, научении богопознанию, а также ее харизматичности, позволяющей охарактеризовать данный жанр религиозного дискурса как сообщение божественной истины словом проповедника. Следует подчеркнуть, что современная англоязычная христианская проповедь находит свое отражение как в регистре устной, так и письменной речи, занимая огромный категориальный пласт текстов, систематизируемых на основе следующих принципов:</w:t>
      </w:r>
      <w:r>
        <w:rPr>
          <w:rStyle w:val="21"/>
          <w:color w:val="000000"/>
        </w:rPr>
        <w:tab/>
        <w:t>формы</w:t>
      </w:r>
    </w:p>
    <w:p w14:paraId="7164662A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существования текстов проповеди (устная и письменная), разнообразие сфер употребления в социуме (трансляция проповеди по телевидению, радио, глобальной сети Интернета), степень подготовленности текста проповеди (импровизированная беседа проповедника с паствой, чтение текста по рукописи).</w:t>
      </w:r>
    </w:p>
    <w:p w14:paraId="33B05A96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В структурном плане в проповеди выделяются три композиционных элемента: введение, основная часть и заключение. Анализ функционально-смысловых типов речи в основной части проповеди показал, что самым частотным из изученных образцов религиозного дискурса является рассуждение (54%), затем следует повествование (36%) и описание (10%).</w:t>
      </w:r>
    </w:p>
    <w:p w14:paraId="0F8FF3C1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right"/>
      </w:pPr>
      <w:r>
        <w:rPr>
          <w:rStyle w:val="21"/>
          <w:color w:val="000000"/>
        </w:rPr>
        <w:t>Проповедь, как жанр религиозного дискурса, была изучена нами</w:t>
      </w:r>
    </w:p>
    <w:p w14:paraId="2086DCA0" w14:textId="77777777" w:rsidR="004C71B1" w:rsidRDefault="004C71B1" w:rsidP="004C71B1">
      <w:pPr>
        <w:pStyle w:val="210"/>
        <w:shd w:val="clear" w:color="auto" w:fill="auto"/>
        <w:tabs>
          <w:tab w:val="left" w:pos="3845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также с точки зрения структурного подхода к исследованию дискурса — абзаца (элемента глобальной структуры), позволяющего проследить смену темы или топика в повествовании проповедника и рассмотреть виды представления информации для паствы. Наблюдения показали, что абзацные переходы как логические элементы в содержательном плане проповеди представлены:</w:t>
      </w:r>
      <w:r>
        <w:rPr>
          <w:rStyle w:val="21"/>
          <w:color w:val="000000"/>
        </w:rPr>
        <w:tab/>
        <w:t>временными параметрами, вводными</w:t>
      </w:r>
    </w:p>
    <w:p w14:paraId="70CAB1BA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словами/сочетаниями, персонифицированной связностью, риторическим вопросом к аудитории, указанием на вид составляющих компонентов проповеди (начало, середину, конец), культурно-историческими ссылками, а также переходами логико-грамматического характера, которые позволяют проповеднику подчеркнуть стратегически важные моменты повествования.</w:t>
      </w:r>
    </w:p>
    <w:p w14:paraId="2B1110FA" w14:textId="77777777" w:rsidR="004C71B1" w:rsidRDefault="004C71B1" w:rsidP="004C71B1">
      <w:pPr>
        <w:pStyle w:val="210"/>
        <w:shd w:val="clear" w:color="auto" w:fill="auto"/>
        <w:tabs>
          <w:tab w:val="left" w:pos="7146"/>
        </w:tabs>
        <w:spacing w:after="0" w:line="480" w:lineRule="exact"/>
        <w:ind w:firstLine="920"/>
        <w:jc w:val="both"/>
      </w:pPr>
      <w:r>
        <w:rPr>
          <w:rStyle w:val="21"/>
          <w:color w:val="000000"/>
        </w:rPr>
        <w:lastRenderedPageBreak/>
        <w:t>К важнейшим функциям проповеди относят:</w:t>
      </w:r>
      <w:r>
        <w:rPr>
          <w:rStyle w:val="21"/>
          <w:color w:val="000000"/>
        </w:rPr>
        <w:tab/>
        <w:t>репрезентативную,</w:t>
      </w:r>
    </w:p>
    <w:p w14:paraId="48C50995" w14:textId="77777777" w:rsidR="004C71B1" w:rsidRDefault="004C71B1" w:rsidP="004C71B1">
      <w:pPr>
        <w:pStyle w:val="210"/>
        <w:shd w:val="clear" w:color="auto" w:fill="auto"/>
        <w:tabs>
          <w:tab w:val="left" w:pos="2914"/>
          <w:tab w:val="left" w:pos="7877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апеллятивную,</w:t>
      </w:r>
      <w:r>
        <w:rPr>
          <w:rStyle w:val="21"/>
          <w:color w:val="000000"/>
        </w:rPr>
        <w:tab/>
        <w:t>эмоционально-экспрессивную,</w:t>
      </w:r>
      <w:r>
        <w:rPr>
          <w:rStyle w:val="21"/>
          <w:color w:val="000000"/>
        </w:rPr>
        <w:tab/>
        <w:t>фатическую,</w:t>
      </w:r>
    </w:p>
    <w:p w14:paraId="4A0D6CE6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информативную, объединяющую и коммуникативную, которые обусловливаю ее когнитивно-дискурсивные характеристики.</w:t>
      </w:r>
    </w:p>
    <w:p w14:paraId="0017903F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Вступительная часть проповеди (представленная в заглавии, эпиграфе или предваряющей проповедь цитате из Библии, приветствии и собственно вступительной части) выполняет фатическую (контактоустанавливающую) функцию, позволяя священнослужителю расположить паству к своему выступлению в начале повествования.</w:t>
      </w:r>
    </w:p>
    <w:p w14:paraId="23056873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Отмечено, что к одному из средств реализации эмоционально</w:t>
      </w:r>
      <w:r>
        <w:rPr>
          <w:rStyle w:val="21"/>
          <w:color w:val="000000"/>
        </w:rPr>
        <w:softHyphen/>
        <w:t>экспрессивной функции современной англоязычной христианской проповеди относится концептуальная метафора, представленная структурным, онтологическим и ориентационным видами. Метафоризация как одно из средств создания образов позволяет адресанту сообщения смоделировать представление верующего об основных постулатоах христианской религии.</w:t>
      </w:r>
    </w:p>
    <w:p w14:paraId="2184DA06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680"/>
        <w:jc w:val="both"/>
      </w:pPr>
      <w:r>
        <w:rPr>
          <w:rStyle w:val="21"/>
          <w:color w:val="000000"/>
        </w:rPr>
        <w:t xml:space="preserve">Установлено, что в современной англоязычной христианской проповеди лингвистические единицы, выражающие эмоции, разделяются на </w:t>
      </w:r>
      <w:r>
        <w:rPr>
          <w:rStyle w:val="21"/>
          <w:color w:val="000000"/>
        </w:rPr>
        <w:lastRenderedPageBreak/>
        <w:t xml:space="preserve">положительные </w:t>
      </w:r>
      <w:r w:rsidRPr="004C71B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love</w:t>
      </w:r>
      <w:r w:rsidRPr="004C71B1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joy</w:t>
      </w:r>
      <w:r w:rsidRPr="004C71B1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happiness</w:t>
      </w:r>
      <w:r w:rsidRPr="004C71B1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и отрицательные </w:t>
      </w:r>
      <w:r w:rsidRPr="004C71B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fear</w:t>
      </w:r>
      <w:r w:rsidRPr="004C71B1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terror</w:t>
      </w:r>
      <w:r w:rsidRPr="004C71B1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threat</w:t>
      </w:r>
      <w:r w:rsidRPr="004C71B1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и позволяют проповеднику строить свое повествование на основе их прямого или косвенного противопоставления.</w:t>
      </w:r>
    </w:p>
    <w:p w14:paraId="00ACDBEB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880"/>
        <w:jc w:val="both"/>
      </w:pPr>
      <w:r>
        <w:rPr>
          <w:rStyle w:val="21"/>
          <w:color w:val="000000"/>
        </w:rPr>
        <w:t xml:space="preserve">Важную роль в структурировании концептосферы современной англоязычной христианской проповеди, как в идейно-содержательном, так и в структурно-организационном плане играет концепт </w:t>
      </w:r>
      <w:r w:rsidRPr="004C71B1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GOD</w:t>
      </w:r>
      <w:r w:rsidRPr="004C71B1">
        <w:rPr>
          <w:rStyle w:val="21"/>
          <w:color w:val="000000"/>
          <w:lang w:eastAsia="en-US"/>
        </w:rPr>
        <w:t xml:space="preserve">», </w:t>
      </w:r>
      <w:r>
        <w:rPr>
          <w:rStyle w:val="21"/>
          <w:color w:val="000000"/>
        </w:rPr>
        <w:t>составляющий многомерный фундамент религиозного дискурса и проявляющийся в репрезентативной функции проповеди. Анализ репрезентаций изучаемого концепта в исследованных образцах религиозного дискурса позволил сделать вывод о том, что его неизменным признаком является мелиоративная стилистическая окрашенность, оказывающая влияние на формирование концептосферы христианской религии.</w:t>
      </w:r>
    </w:p>
    <w:p w14:paraId="027D81A5" w14:textId="77777777" w:rsidR="004C71B1" w:rsidRDefault="004C71B1" w:rsidP="004C71B1">
      <w:pPr>
        <w:pStyle w:val="210"/>
        <w:shd w:val="clear" w:color="auto" w:fill="auto"/>
        <w:tabs>
          <w:tab w:val="left" w:pos="5822"/>
        </w:tabs>
        <w:spacing w:after="0" w:line="480" w:lineRule="exact"/>
        <w:ind w:firstLine="1000"/>
        <w:jc w:val="both"/>
      </w:pPr>
      <w:r>
        <w:rPr>
          <w:rStyle w:val="21"/>
          <w:color w:val="000000"/>
        </w:rPr>
        <w:t>На заключительном этапе диссертационного исследования были изучены типичные виды обращения проповедника к аудитории, выраженные прямой, полупрямой и косвенной формами адресации, реализуемые посредством апеллятивной и объединяющей функций проповеди. Наблюдения показали, что</w:t>
      </w:r>
      <w:r>
        <w:rPr>
          <w:rStyle w:val="21"/>
          <w:color w:val="000000"/>
        </w:rPr>
        <w:tab/>
        <w:t>обращение англоязычного</w:t>
      </w:r>
    </w:p>
    <w:p w14:paraId="23E33E0F" w14:textId="77777777" w:rsidR="004C71B1" w:rsidRDefault="004C71B1" w:rsidP="004C71B1">
      <w:pPr>
        <w:pStyle w:val="210"/>
        <w:shd w:val="clear" w:color="auto" w:fill="auto"/>
        <w:tabs>
          <w:tab w:val="left" w:pos="4618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проповедника к пастве носит метагендерный характер и подчеркивает умение священнослужителя</w:t>
      </w:r>
      <w:r>
        <w:rPr>
          <w:rStyle w:val="21"/>
          <w:color w:val="000000"/>
        </w:rPr>
        <w:tab/>
        <w:t>объединить всех верующих,</w:t>
      </w:r>
    </w:p>
    <w:p w14:paraId="5FD07D61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избегая конкретизации гендерной роли своих слушателей в обществе.</w:t>
      </w:r>
    </w:p>
    <w:p w14:paraId="5C66DF12" w14:textId="77777777" w:rsidR="004C71B1" w:rsidRDefault="004C71B1" w:rsidP="004C71B1">
      <w:pPr>
        <w:pStyle w:val="210"/>
        <w:shd w:val="clear" w:color="auto" w:fill="auto"/>
        <w:tabs>
          <w:tab w:val="left" w:pos="7728"/>
        </w:tabs>
        <w:spacing w:after="0" w:line="480" w:lineRule="exact"/>
        <w:ind w:firstLine="1000"/>
        <w:jc w:val="both"/>
      </w:pPr>
      <w:r>
        <w:rPr>
          <w:rStyle w:val="21"/>
          <w:color w:val="000000"/>
        </w:rPr>
        <w:lastRenderedPageBreak/>
        <w:t>В настоящей работе отдельно выделяется прагматическая функция проповеди как особый связующий элемент между данным жанром религиозного дискурса в. целом (со всем многообразием его частных функций) и прагматической целью коммуникативного религиозного процесса, в частности, - приобщения к вере, воздействия на адресата и, как следствие, единения в религии.</w:t>
      </w:r>
      <w:r>
        <w:rPr>
          <w:rStyle w:val="21"/>
          <w:color w:val="000000"/>
        </w:rPr>
        <w:tab/>
        <w:t>.</w:t>
      </w:r>
    </w:p>
    <w:p w14:paraId="71889C30" w14:textId="77777777" w:rsidR="004C71B1" w:rsidRDefault="004C71B1" w:rsidP="004C71B1">
      <w:pPr>
        <w:pStyle w:val="210"/>
        <w:shd w:val="clear" w:color="auto" w:fill="auto"/>
        <w:spacing w:after="0" w:line="480" w:lineRule="exact"/>
        <w:ind w:firstLine="880"/>
        <w:jc w:val="both"/>
      </w:pPr>
      <w:r>
        <w:rPr>
          <w:rStyle w:val="21"/>
          <w:color w:val="000000"/>
        </w:rPr>
        <w:t>Таким образом, полученные результаты исследования позволяют утверждать, что рассмотрение религиозного дискурса на материале современной англоязычной христианской проповеди в ракурсе когнитивной лингвистики позволило провести комплексное изучение функциональных характеристик изучаемого жанра, обусловливающих целый ряд ее когнитивно-дискурсивных особенностей (концептосферы, метафоризации, эмотивной и коммуникативной сферы, компонентных структур). В то же время для полного декодирования информации в образцах исследуемого дискурса необходим учет базовых знаний и представлений о мире, его духовно-нравственных ценностях и понятиях. Изучение проповеди как жанра религиозного дискурса в таком аспекте позволяет существенно расширить и дополнить общую теорию дискурса.</w:t>
      </w:r>
    </w:p>
    <w:p w14:paraId="20DCD7CC" w14:textId="77777777" w:rsidR="004C71B1" w:rsidRDefault="004C71B1" w:rsidP="004C71B1">
      <w:pPr>
        <w:pStyle w:val="210"/>
        <w:shd w:val="clear" w:color="auto" w:fill="auto"/>
        <w:tabs>
          <w:tab w:val="left" w:pos="1874"/>
        </w:tabs>
        <w:spacing w:after="0" w:line="480" w:lineRule="exact"/>
        <w:ind w:firstLine="1120"/>
        <w:jc w:val="both"/>
      </w:pPr>
      <w:r>
        <w:rPr>
          <w:rStyle w:val="21"/>
          <w:color w:val="000000"/>
        </w:rPr>
        <w:t>Интерес к изучению религиозного дискурса и его жанровых разновидностей только начинается в лингвистической науке, поэтому возможными направлениями в дальнейшем исследовании проповеди могут послужить ее более детальное рассмотрение с позиции гендерной лингвистики (например, при сопоставлении особенностей изложения проповеди</w:t>
      </w:r>
      <w:r>
        <w:rPr>
          <w:rStyle w:val="21"/>
          <w:color w:val="000000"/>
        </w:rPr>
        <w:tab/>
        <w:t>священнослужителем женского или мужского пола),</w:t>
      </w:r>
    </w:p>
    <w:p w14:paraId="534F7869" w14:textId="77777777" w:rsidR="004C71B1" w:rsidRDefault="004C71B1" w:rsidP="004C71B1">
      <w:pPr>
        <w:pStyle w:val="210"/>
        <w:shd w:val="clear" w:color="auto" w:fill="auto"/>
        <w:tabs>
          <w:tab w:val="left" w:pos="1874"/>
          <w:tab w:val="left" w:pos="4848"/>
          <w:tab w:val="left" w:pos="8482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lastRenderedPageBreak/>
        <w:t>прагмастилистики (изучение современных языковых предпочтений в религиозном</w:t>
      </w:r>
      <w:r>
        <w:rPr>
          <w:rStyle w:val="21"/>
          <w:color w:val="000000"/>
        </w:rPr>
        <w:tab/>
        <w:t>коммуникативном</w:t>
      </w:r>
      <w:r>
        <w:rPr>
          <w:rStyle w:val="21"/>
          <w:color w:val="000000"/>
        </w:rPr>
        <w:tab/>
        <w:t>регистре), семиотики</w:t>
      </w:r>
      <w:r>
        <w:rPr>
          <w:rStyle w:val="21"/>
          <w:color w:val="000000"/>
        </w:rPr>
        <w:tab/>
        <w:t>(анализ</w:t>
      </w:r>
    </w:p>
    <w:p w14:paraId="50211F0F" w14:textId="2ACB430A" w:rsidR="004C71B1" w:rsidRPr="004C71B1" w:rsidRDefault="004C71B1" w:rsidP="004C71B1">
      <w:r>
        <w:rPr>
          <w:rStyle w:val="21"/>
          <w:color w:val="000000"/>
        </w:rPr>
        <w:t>пространственных и временных отношений словесных знаков в проповеди), а также в ракурсе других современных научных направлений</w:t>
      </w:r>
    </w:p>
    <w:sectPr w:rsidR="004C71B1" w:rsidRPr="004C71B1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7F81" w14:textId="77777777" w:rsidR="004C6705" w:rsidRDefault="004C6705">
      <w:pPr>
        <w:spacing w:after="0" w:line="240" w:lineRule="auto"/>
      </w:pPr>
      <w:r>
        <w:separator/>
      </w:r>
    </w:p>
  </w:endnote>
  <w:endnote w:type="continuationSeparator" w:id="0">
    <w:p w14:paraId="1688DAAB" w14:textId="77777777" w:rsidR="004C6705" w:rsidRDefault="004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E87B" w14:textId="13E31B96" w:rsidR="004C71B1" w:rsidRDefault="004C71B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EAF34F5" wp14:editId="7F26F071">
              <wp:simplePos x="0" y="0"/>
              <wp:positionH relativeFrom="page">
                <wp:posOffset>6815455</wp:posOffset>
              </wp:positionH>
              <wp:positionV relativeFrom="page">
                <wp:posOffset>10170160</wp:posOffset>
              </wp:positionV>
              <wp:extent cx="76835" cy="175260"/>
              <wp:effectExtent l="0" t="0" r="3810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FA0AE" w14:textId="77777777" w:rsidR="004C71B1" w:rsidRDefault="004C71B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F34F5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36.65pt;margin-top:800.8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" filled="f" stroked="f">
              <v:textbox style="mso-fit-shape-to-text:t" inset="0,0,0,0">
                <w:txbxContent>
                  <w:p w14:paraId="228FA0AE" w14:textId="77777777" w:rsidR="004C71B1" w:rsidRDefault="004C71B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621A" w14:textId="77777777" w:rsidR="004C6705" w:rsidRDefault="004C6705">
      <w:pPr>
        <w:spacing w:after="0" w:line="240" w:lineRule="auto"/>
      </w:pPr>
      <w:r>
        <w:separator/>
      </w:r>
    </w:p>
  </w:footnote>
  <w:footnote w:type="continuationSeparator" w:id="0">
    <w:p w14:paraId="27EB2BD4" w14:textId="77777777" w:rsidR="004C6705" w:rsidRDefault="004C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7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705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57172</TotalTime>
  <Pages>11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10573</cp:revision>
  <dcterms:created xsi:type="dcterms:W3CDTF">2024-06-20T08:51:00Z</dcterms:created>
  <dcterms:modified xsi:type="dcterms:W3CDTF">2024-11-02T11:40:00Z</dcterms:modified>
  <cp:category/>
</cp:coreProperties>
</file>