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98173" w14:textId="77777777" w:rsidR="00B24F91" w:rsidRDefault="00B24F91" w:rsidP="00B24F91">
      <w:pPr>
        <w:pStyle w:val="afffffffffffffffffffffffffff5"/>
        <w:rPr>
          <w:rFonts w:ascii="Verdana" w:hAnsi="Verdana"/>
          <w:color w:val="000000"/>
          <w:sz w:val="21"/>
          <w:szCs w:val="21"/>
        </w:rPr>
      </w:pPr>
      <w:r>
        <w:rPr>
          <w:rFonts w:ascii="Helvetica" w:hAnsi="Helvetica" w:cs="Helvetica"/>
          <w:b/>
          <w:bCs w:val="0"/>
          <w:color w:val="222222"/>
          <w:sz w:val="21"/>
          <w:szCs w:val="21"/>
        </w:rPr>
        <w:t>Васильев, Юрий Владимирович.</w:t>
      </w:r>
    </w:p>
    <w:p w14:paraId="3957CD27" w14:textId="77777777" w:rsidR="00B24F91" w:rsidRDefault="00B24F91" w:rsidP="00B24F9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Этнополитические конфликты на Юге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возникновение и системообразующие механизмы разрешения : диссертация ... доктора политических наук : 23.00.02. - Ростов-на-Дону, 2006. - 299 с.</w:t>
      </w:r>
    </w:p>
    <w:p w14:paraId="786629BB" w14:textId="77777777" w:rsidR="00B24F91" w:rsidRDefault="00B24F91" w:rsidP="00B24F9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Васильев, Юрий Владимирович</w:t>
      </w:r>
    </w:p>
    <w:p w14:paraId="025BDF9A"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9DC361"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аспекты анализа межэтнической конфликтности.</w:t>
      </w:r>
    </w:p>
    <w:p w14:paraId="545D2F10"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аспекты исследования этнополитических процессов.</w:t>
      </w:r>
    </w:p>
    <w:p w14:paraId="15E36CF4"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Этнополитические конфликты: основные субъекты и системные формы.</w:t>
      </w:r>
    </w:p>
    <w:p w14:paraId="50D794F2"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w:t>
      </w:r>
      <w:proofErr w:type="spellStart"/>
      <w:r>
        <w:rPr>
          <w:rFonts w:ascii="Arial" w:hAnsi="Arial" w:cs="Arial"/>
          <w:color w:val="333333"/>
          <w:sz w:val="21"/>
          <w:szCs w:val="21"/>
        </w:rPr>
        <w:t>Конфликтогенные</w:t>
      </w:r>
      <w:proofErr w:type="spellEnd"/>
      <w:r>
        <w:rPr>
          <w:rFonts w:ascii="Arial" w:hAnsi="Arial" w:cs="Arial"/>
          <w:color w:val="333333"/>
          <w:sz w:val="21"/>
          <w:szCs w:val="21"/>
        </w:rPr>
        <w:t xml:space="preserve"> факторы и стадии развития этнополитических конфликтов.</w:t>
      </w:r>
    </w:p>
    <w:p w14:paraId="7979EC9D"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w:t>
      </w:r>
      <w:proofErr w:type="spellStart"/>
      <w:r>
        <w:rPr>
          <w:rFonts w:ascii="Arial" w:hAnsi="Arial" w:cs="Arial"/>
          <w:color w:val="333333"/>
          <w:sz w:val="21"/>
          <w:szCs w:val="21"/>
        </w:rPr>
        <w:t>Этноконфликтогенный</w:t>
      </w:r>
      <w:proofErr w:type="spellEnd"/>
      <w:r>
        <w:rPr>
          <w:rFonts w:ascii="Arial" w:hAnsi="Arial" w:cs="Arial"/>
          <w:color w:val="333333"/>
          <w:sz w:val="21"/>
          <w:szCs w:val="21"/>
        </w:rPr>
        <w:t xml:space="preserve"> потенциал (ЭКП) и </w:t>
      </w:r>
      <w:proofErr w:type="spellStart"/>
      <w:r>
        <w:rPr>
          <w:rFonts w:ascii="Arial" w:hAnsi="Arial" w:cs="Arial"/>
          <w:color w:val="333333"/>
          <w:sz w:val="21"/>
          <w:szCs w:val="21"/>
        </w:rPr>
        <w:t>этноконфликтогенные</w:t>
      </w:r>
      <w:proofErr w:type="spellEnd"/>
      <w:r>
        <w:rPr>
          <w:rFonts w:ascii="Arial" w:hAnsi="Arial" w:cs="Arial"/>
          <w:color w:val="333333"/>
          <w:sz w:val="21"/>
          <w:szCs w:val="21"/>
        </w:rPr>
        <w:t xml:space="preserve"> жизнедеятельные комплексы (ЭКЖК) (на материале регионов Юга России).</w:t>
      </w:r>
    </w:p>
    <w:p w14:paraId="55774808"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Методика определения </w:t>
      </w:r>
      <w:proofErr w:type="spellStart"/>
      <w:r>
        <w:rPr>
          <w:rFonts w:ascii="Arial" w:hAnsi="Arial" w:cs="Arial"/>
          <w:color w:val="333333"/>
          <w:sz w:val="21"/>
          <w:szCs w:val="21"/>
        </w:rPr>
        <w:t>этноконфликтогенного</w:t>
      </w:r>
      <w:proofErr w:type="spellEnd"/>
      <w:r>
        <w:rPr>
          <w:rFonts w:ascii="Arial" w:hAnsi="Arial" w:cs="Arial"/>
          <w:color w:val="333333"/>
          <w:sz w:val="21"/>
          <w:szCs w:val="21"/>
        </w:rPr>
        <w:t xml:space="preserve"> потенциала (ЭКП).</w:t>
      </w:r>
    </w:p>
    <w:p w14:paraId="5C1344A1"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Этнополитический процесс и межэтническая конфликтность на Северном Кавказе в конце XX -начале XXI века.</w:t>
      </w:r>
    </w:p>
    <w:p w14:paraId="6A3CB9A4"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Этнополитический процесс в Чеченской республике: становление и фазовая динамика чеченского </w:t>
      </w:r>
      <w:proofErr w:type="spellStart"/>
      <w:r>
        <w:rPr>
          <w:rFonts w:ascii="Arial" w:hAnsi="Arial" w:cs="Arial"/>
          <w:color w:val="333333"/>
          <w:sz w:val="21"/>
          <w:szCs w:val="21"/>
        </w:rPr>
        <w:t>этноконфликтогенного</w:t>
      </w:r>
      <w:proofErr w:type="spellEnd"/>
      <w:r>
        <w:rPr>
          <w:rFonts w:ascii="Arial" w:hAnsi="Arial" w:cs="Arial"/>
          <w:color w:val="333333"/>
          <w:sz w:val="21"/>
          <w:szCs w:val="21"/>
        </w:rPr>
        <w:t xml:space="preserve"> комплекса, характеристика его основных системных блоков.</w:t>
      </w:r>
    </w:p>
    <w:p w14:paraId="36AAAAA9"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Проблема урегулирования чеченского кризиса и разрушения </w:t>
      </w:r>
      <w:proofErr w:type="spellStart"/>
      <w:r>
        <w:rPr>
          <w:rFonts w:ascii="Arial" w:hAnsi="Arial" w:cs="Arial"/>
          <w:color w:val="333333"/>
          <w:sz w:val="21"/>
          <w:szCs w:val="21"/>
        </w:rPr>
        <w:t>сепаратистско</w:t>
      </w:r>
      <w:proofErr w:type="spellEnd"/>
      <w:r>
        <w:rPr>
          <w:rFonts w:ascii="Arial" w:hAnsi="Arial" w:cs="Arial"/>
          <w:color w:val="333333"/>
          <w:sz w:val="21"/>
          <w:szCs w:val="21"/>
        </w:rPr>
        <w:t>-террористического комплекса.</w:t>
      </w:r>
    </w:p>
    <w:p w14:paraId="4C61E651"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Осетино-ингушское противостояние: становление и динамика сдвоенного </w:t>
      </w:r>
      <w:proofErr w:type="spellStart"/>
      <w:r>
        <w:rPr>
          <w:rFonts w:ascii="Arial" w:hAnsi="Arial" w:cs="Arial"/>
          <w:color w:val="333333"/>
          <w:sz w:val="21"/>
          <w:szCs w:val="21"/>
        </w:rPr>
        <w:t>этноконфликтогенного</w:t>
      </w:r>
      <w:proofErr w:type="spellEnd"/>
      <w:r>
        <w:rPr>
          <w:rFonts w:ascii="Arial" w:hAnsi="Arial" w:cs="Arial"/>
          <w:color w:val="333333"/>
          <w:sz w:val="21"/>
          <w:szCs w:val="21"/>
        </w:rPr>
        <w:t xml:space="preserve"> жизнедеятельного комплекса и пути урегулирования конфликта.</w:t>
      </w:r>
    </w:p>
    <w:p w14:paraId="62CD91DB"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Этнополитические конфликты и </w:t>
      </w:r>
      <w:proofErr w:type="spellStart"/>
      <w:r>
        <w:rPr>
          <w:rFonts w:ascii="Arial" w:hAnsi="Arial" w:cs="Arial"/>
          <w:color w:val="333333"/>
          <w:sz w:val="21"/>
          <w:szCs w:val="21"/>
        </w:rPr>
        <w:t>этноконфликтогенный</w:t>
      </w:r>
      <w:proofErr w:type="spellEnd"/>
      <w:r>
        <w:rPr>
          <w:rFonts w:ascii="Arial" w:hAnsi="Arial" w:cs="Arial"/>
          <w:color w:val="333333"/>
          <w:sz w:val="21"/>
          <w:szCs w:val="21"/>
        </w:rPr>
        <w:t xml:space="preserve"> потенциал ведущих народов Республики Дагестан и динамика их развития.</w:t>
      </w:r>
    </w:p>
    <w:p w14:paraId="03617600"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 </w:t>
      </w:r>
      <w:proofErr w:type="spellStart"/>
      <w:r>
        <w:rPr>
          <w:rFonts w:ascii="Arial" w:hAnsi="Arial" w:cs="Arial"/>
          <w:color w:val="333333"/>
          <w:sz w:val="21"/>
          <w:szCs w:val="21"/>
        </w:rPr>
        <w:t>Этноконфликтогенный</w:t>
      </w:r>
      <w:proofErr w:type="spellEnd"/>
      <w:r>
        <w:rPr>
          <w:rFonts w:ascii="Arial" w:hAnsi="Arial" w:cs="Arial"/>
          <w:color w:val="333333"/>
          <w:sz w:val="21"/>
          <w:szCs w:val="21"/>
        </w:rPr>
        <w:t xml:space="preserve"> потенциал западных республик Северного Кавказа (Кабардино-Балкария, Карачаево-Черкесия, Адыгея): состояние и угрозы кризиса.</w:t>
      </w:r>
    </w:p>
    <w:p w14:paraId="4CF87FA4"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Этнополитические процессы и конфликты на территориях областей и краев Юга России: возможности оптимизации межэтнических отношений.</w:t>
      </w:r>
    </w:p>
    <w:p w14:paraId="7445A5C5"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Этнополитический процесс Ставропольского края.</w:t>
      </w:r>
    </w:p>
    <w:p w14:paraId="2EF565B0"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Этнополитический процесс Краснодарского края.</w:t>
      </w:r>
    </w:p>
    <w:p w14:paraId="174AD2CD"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Этнополитический процесс в Ростовской области.</w:t>
      </w:r>
    </w:p>
    <w:p w14:paraId="2C85CF5A"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Этнополитический процесс в Астраханской и Волгоградской областях.</w:t>
      </w:r>
    </w:p>
    <w:p w14:paraId="2470711C"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4. Механизмы оптимизации </w:t>
      </w:r>
      <w:proofErr w:type="spellStart"/>
      <w:r>
        <w:rPr>
          <w:rFonts w:ascii="Arial" w:hAnsi="Arial" w:cs="Arial"/>
          <w:color w:val="333333"/>
          <w:sz w:val="21"/>
          <w:szCs w:val="21"/>
        </w:rPr>
        <w:t>этнонолитического</w:t>
      </w:r>
      <w:proofErr w:type="spellEnd"/>
      <w:r>
        <w:rPr>
          <w:rFonts w:ascii="Arial" w:hAnsi="Arial" w:cs="Arial"/>
          <w:color w:val="333333"/>
          <w:sz w:val="21"/>
          <w:szCs w:val="21"/>
        </w:rPr>
        <w:t xml:space="preserve"> процесса на Юге России.</w:t>
      </w:r>
    </w:p>
    <w:p w14:paraId="08B0089B"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Нормативно-правовой и административно-политический блоки комплекса мер по урегулированию сферы межэтнических взаимодействий в регионе.</w:t>
      </w:r>
    </w:p>
    <w:p w14:paraId="6446D615"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Система превентивно-профилактических и социально-экономических мероприятий.</w:t>
      </w:r>
    </w:p>
    <w:p w14:paraId="0C8FD12D"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Учебно-образовательный, социокультурный и модернизационный блоки </w:t>
      </w:r>
      <w:proofErr w:type="spellStart"/>
      <w:r>
        <w:rPr>
          <w:rFonts w:ascii="Arial" w:hAnsi="Arial" w:cs="Arial"/>
          <w:color w:val="333333"/>
          <w:sz w:val="21"/>
          <w:szCs w:val="21"/>
        </w:rPr>
        <w:t>оптимизационно</w:t>
      </w:r>
      <w:proofErr w:type="spellEnd"/>
      <w:r>
        <w:rPr>
          <w:rFonts w:ascii="Arial" w:hAnsi="Arial" w:cs="Arial"/>
          <w:color w:val="333333"/>
          <w:sz w:val="21"/>
          <w:szCs w:val="21"/>
        </w:rPr>
        <w:t>-регулирующих мероприятий.</w:t>
      </w:r>
    </w:p>
    <w:p w14:paraId="04587442" w14:textId="77777777" w:rsidR="00B24F91" w:rsidRDefault="00B24F91" w:rsidP="00B24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Внешние социогенные факторы региональной </w:t>
      </w:r>
      <w:proofErr w:type="spellStart"/>
      <w:r>
        <w:rPr>
          <w:rFonts w:ascii="Arial" w:hAnsi="Arial" w:cs="Arial"/>
          <w:color w:val="333333"/>
          <w:sz w:val="21"/>
          <w:szCs w:val="21"/>
        </w:rPr>
        <w:t>этноконфликтности</w:t>
      </w:r>
      <w:proofErr w:type="spellEnd"/>
      <w:r>
        <w:rPr>
          <w:rFonts w:ascii="Arial" w:hAnsi="Arial" w:cs="Arial"/>
          <w:color w:val="333333"/>
          <w:sz w:val="21"/>
          <w:szCs w:val="21"/>
        </w:rPr>
        <w:t xml:space="preserve"> и способы их нейтрализации.</w:t>
      </w:r>
    </w:p>
    <w:p w14:paraId="7823CDB0" w14:textId="0B55C83F" w:rsidR="00F37380" w:rsidRPr="00B24F91" w:rsidRDefault="00F37380" w:rsidP="00B24F91"/>
    <w:sectPr w:rsidR="00F37380" w:rsidRPr="00B24F9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2006" w14:textId="77777777" w:rsidR="00C34C5F" w:rsidRDefault="00C34C5F">
      <w:pPr>
        <w:spacing w:after="0" w:line="240" w:lineRule="auto"/>
      </w:pPr>
      <w:r>
        <w:separator/>
      </w:r>
    </w:p>
  </w:endnote>
  <w:endnote w:type="continuationSeparator" w:id="0">
    <w:p w14:paraId="0A89747C" w14:textId="77777777" w:rsidR="00C34C5F" w:rsidRDefault="00C34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4C50" w14:textId="77777777" w:rsidR="00C34C5F" w:rsidRDefault="00C34C5F"/>
    <w:p w14:paraId="3BA873BA" w14:textId="77777777" w:rsidR="00C34C5F" w:rsidRDefault="00C34C5F"/>
    <w:p w14:paraId="486C782B" w14:textId="77777777" w:rsidR="00C34C5F" w:rsidRDefault="00C34C5F"/>
    <w:p w14:paraId="044ADC0C" w14:textId="77777777" w:rsidR="00C34C5F" w:rsidRDefault="00C34C5F"/>
    <w:p w14:paraId="46E86458" w14:textId="77777777" w:rsidR="00C34C5F" w:rsidRDefault="00C34C5F"/>
    <w:p w14:paraId="5C5E4F58" w14:textId="77777777" w:rsidR="00C34C5F" w:rsidRDefault="00C34C5F"/>
    <w:p w14:paraId="2916D8D5" w14:textId="77777777" w:rsidR="00C34C5F" w:rsidRDefault="00C34C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BB25E8" wp14:editId="6BA9E7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D5206" w14:textId="77777777" w:rsidR="00C34C5F" w:rsidRDefault="00C34C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BB25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7D5206" w14:textId="77777777" w:rsidR="00C34C5F" w:rsidRDefault="00C34C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893280" w14:textId="77777777" w:rsidR="00C34C5F" w:rsidRDefault="00C34C5F"/>
    <w:p w14:paraId="66635182" w14:textId="77777777" w:rsidR="00C34C5F" w:rsidRDefault="00C34C5F"/>
    <w:p w14:paraId="0B3ACF8E" w14:textId="77777777" w:rsidR="00C34C5F" w:rsidRDefault="00C34C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30ADB3" wp14:editId="168490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D49BC" w14:textId="77777777" w:rsidR="00C34C5F" w:rsidRDefault="00C34C5F"/>
                          <w:p w14:paraId="3952769B" w14:textId="77777777" w:rsidR="00C34C5F" w:rsidRDefault="00C34C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30AD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8D49BC" w14:textId="77777777" w:rsidR="00C34C5F" w:rsidRDefault="00C34C5F"/>
                    <w:p w14:paraId="3952769B" w14:textId="77777777" w:rsidR="00C34C5F" w:rsidRDefault="00C34C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394091" w14:textId="77777777" w:rsidR="00C34C5F" w:rsidRDefault="00C34C5F"/>
    <w:p w14:paraId="316EED8B" w14:textId="77777777" w:rsidR="00C34C5F" w:rsidRDefault="00C34C5F">
      <w:pPr>
        <w:rPr>
          <w:sz w:val="2"/>
          <w:szCs w:val="2"/>
        </w:rPr>
      </w:pPr>
    </w:p>
    <w:p w14:paraId="079BB26F" w14:textId="77777777" w:rsidR="00C34C5F" w:rsidRDefault="00C34C5F"/>
    <w:p w14:paraId="7B1903FE" w14:textId="77777777" w:rsidR="00C34C5F" w:rsidRDefault="00C34C5F">
      <w:pPr>
        <w:spacing w:after="0" w:line="240" w:lineRule="auto"/>
      </w:pPr>
    </w:p>
  </w:footnote>
  <w:footnote w:type="continuationSeparator" w:id="0">
    <w:p w14:paraId="18F6FE4F" w14:textId="77777777" w:rsidR="00C34C5F" w:rsidRDefault="00C34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65764</TotalTime>
  <Pages>2</Pages>
  <Words>369</Words>
  <Characters>2107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1576</cp:revision>
  <cp:lastPrinted>2009-02-06T05:36:00Z</cp:lastPrinted>
  <dcterms:created xsi:type="dcterms:W3CDTF">2024-01-07T13:43:00Z</dcterms:created>
  <dcterms:modified xsi:type="dcterms:W3CDTF">2025-04-09T09:14:00Z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