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7C58D" w14:textId="77777777" w:rsidR="00E85AD9" w:rsidRDefault="00E85AD9" w:rsidP="00E85AD9">
      <w:pPr>
        <w:pStyle w:val="afffffffffffffffffffffffffff5"/>
        <w:rPr>
          <w:rFonts w:ascii="Verdana" w:hAnsi="Verdana"/>
          <w:color w:val="000000"/>
          <w:sz w:val="21"/>
          <w:szCs w:val="21"/>
        </w:rPr>
      </w:pPr>
      <w:r>
        <w:rPr>
          <w:rFonts w:ascii="Helvetica" w:hAnsi="Helvetica" w:cs="Helvetica"/>
          <w:b/>
          <w:bCs w:val="0"/>
          <w:color w:val="222222"/>
          <w:sz w:val="21"/>
          <w:szCs w:val="21"/>
        </w:rPr>
        <w:t>Шаненко, Аркадий Аркадьевич.</w:t>
      </w:r>
    </w:p>
    <w:p w14:paraId="43628984" w14:textId="77777777" w:rsidR="00E85AD9" w:rsidRDefault="00E85AD9" w:rsidP="00E85AD9">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Статистическая модель деконфайнмента в кластеризующейся </w:t>
      </w:r>
      <w:proofErr w:type="gramStart"/>
      <w:r>
        <w:rPr>
          <w:rFonts w:ascii="Helvetica" w:hAnsi="Helvetica" w:cs="Helvetica"/>
          <w:caps/>
          <w:color w:val="222222"/>
          <w:sz w:val="21"/>
          <w:szCs w:val="21"/>
        </w:rPr>
        <w:t>материи :</w:t>
      </w:r>
      <w:proofErr w:type="gramEnd"/>
      <w:r>
        <w:rPr>
          <w:rFonts w:ascii="Helvetica" w:hAnsi="Helvetica" w:cs="Helvetica"/>
          <w:caps/>
          <w:color w:val="222222"/>
          <w:sz w:val="21"/>
          <w:szCs w:val="21"/>
        </w:rPr>
        <w:t xml:space="preserve"> диссертация ... кандидата физико-математических наук : 01.04.02 / Объед. ин-т ядерных исследований. - Дубна, 1992. - 167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364257E2" w14:textId="77777777" w:rsidR="00E85AD9" w:rsidRDefault="00E85AD9" w:rsidP="00E85AD9">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Шаненко, Аркадий Аркадьевич</w:t>
      </w:r>
    </w:p>
    <w:p w14:paraId="2A324528" w14:textId="77777777" w:rsidR="00E85AD9" w:rsidRDefault="00E85AD9" w:rsidP="00E85AD9">
      <w:pPr>
        <w:pStyle w:val="afffffffffffffffffffffffffff5"/>
        <w:spacing w:before="0" w:beforeAutospacing="0" w:after="312" w:afterAutospacing="0"/>
        <w:rPr>
          <w:rFonts w:ascii="Arial" w:hAnsi="Arial" w:cs="Arial"/>
          <w:color w:val="333333"/>
          <w:sz w:val="21"/>
          <w:szCs w:val="21"/>
        </w:rPr>
      </w:pPr>
      <w:proofErr w:type="gramStart"/>
      <w:r>
        <w:rPr>
          <w:rFonts w:ascii="Arial" w:hAnsi="Arial" w:cs="Arial"/>
          <w:color w:val="333333"/>
          <w:sz w:val="21"/>
          <w:szCs w:val="21"/>
        </w:rPr>
        <w:t>Введение .</w:t>
      </w:r>
      <w:proofErr w:type="gramEnd"/>
      <w:r>
        <w:rPr>
          <w:rFonts w:ascii="Arial" w:hAnsi="Arial" w:cs="Arial"/>
          <w:color w:val="333333"/>
          <w:sz w:val="21"/>
          <w:szCs w:val="21"/>
        </w:rPr>
        <w:t>стр.</w:t>
      </w:r>
    </w:p>
    <w:p w14:paraId="6593D104" w14:textId="77777777" w:rsidR="00E85AD9" w:rsidRDefault="00E85AD9" w:rsidP="00E85A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Статистические модели деконфайнмента.</w:t>
      </w:r>
    </w:p>
    <w:p w14:paraId="72C67D36" w14:textId="77777777" w:rsidR="00E85AD9" w:rsidRDefault="00E85AD9" w:rsidP="00E85A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Эволюция метода "статистического бутстрапа"</w:t>
      </w:r>
    </w:p>
    <w:p w14:paraId="43BE7D00" w14:textId="77777777" w:rsidR="00E85AD9" w:rsidRDefault="00E85AD9" w:rsidP="00E85A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1.2 Стандартные статистические </w:t>
      </w:r>
      <w:proofErr w:type="gramStart"/>
      <w:r>
        <w:rPr>
          <w:rFonts w:ascii="Arial" w:hAnsi="Arial" w:cs="Arial"/>
          <w:color w:val="333333"/>
          <w:sz w:val="21"/>
          <w:szCs w:val="21"/>
        </w:rPr>
        <w:t>методы .II</w:t>
      </w:r>
      <w:proofErr w:type="gramEnd"/>
    </w:p>
    <w:p w14:paraId="7DCE308E" w14:textId="77777777" w:rsidR="00E85AD9" w:rsidRDefault="00E85AD9" w:rsidP="00E85A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Развитие статистических моделей деконфайнмента.</w:t>
      </w:r>
    </w:p>
    <w:p w14:paraId="6A29A355" w14:textId="77777777" w:rsidR="00E85AD9" w:rsidRDefault="00E85AD9" w:rsidP="00E85A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Сравнение предсказаний статистических моделей с решёточными результатами</w:t>
      </w:r>
    </w:p>
    <w:p w14:paraId="5A6BD582" w14:textId="77777777" w:rsidR="00E85AD9" w:rsidRDefault="00E85AD9" w:rsidP="00E85A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Необходимость учета сосуществования адронов и плазмы</w:t>
      </w:r>
    </w:p>
    <w:p w14:paraId="75EAD010" w14:textId="77777777" w:rsidR="00E85AD9" w:rsidRDefault="00E85AD9" w:rsidP="00E85A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Кластеризующаяся материя</w:t>
      </w:r>
    </w:p>
    <w:p w14:paraId="4C3CEEF9" w14:textId="77777777" w:rsidR="00E85AD9" w:rsidRDefault="00E85AD9" w:rsidP="00E85A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Кластерный гамильтониан</w:t>
      </w:r>
    </w:p>
    <w:p w14:paraId="58A8955B" w14:textId="77777777" w:rsidR="00E85AD9" w:rsidRDefault="00E85AD9" w:rsidP="00E85A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Условие гетер0фаз.нбгф"£вегн'0весия</w:t>
      </w:r>
    </w:p>
    <w:p w14:paraId="5676A829" w14:textId="77777777" w:rsidR="00E85AD9" w:rsidRDefault="00E85AD9" w:rsidP="00E85A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Газовое приближение</w:t>
      </w:r>
      <w:proofErr w:type="gramStart"/>
      <w:r>
        <w:rPr>
          <w:rFonts w:ascii="Arial" w:hAnsi="Arial" w:cs="Arial"/>
          <w:color w:val="333333"/>
          <w:sz w:val="21"/>
          <w:szCs w:val="21"/>
        </w:rPr>
        <w:t>' .</w:t>
      </w:r>
      <w:proofErr w:type="gramEnd"/>
      <w:r>
        <w:rPr>
          <w:rFonts w:ascii="Arial" w:hAnsi="Arial" w:cs="Arial"/>
          <w:color w:val="333333"/>
          <w:sz w:val="21"/>
          <w:szCs w:val="21"/>
        </w:rPr>
        <w:t>'.</w:t>
      </w:r>
    </w:p>
    <w:p w14:paraId="211E2083" w14:textId="77777777" w:rsidR="00E85AD9" w:rsidRDefault="00E85AD9" w:rsidP="00E85A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Необходимое и достаточное условия кластеризации.</w:t>
      </w:r>
    </w:p>
    <w:p w14:paraId="1BD1FF7C" w14:textId="77777777" w:rsidR="00E85AD9" w:rsidRDefault="00E85AD9" w:rsidP="00E85A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Потенциалы взаимодействия кластеров</w:t>
      </w:r>
    </w:p>
    <w:p w14:paraId="6242ECDF" w14:textId="77777777" w:rsidR="00E85AD9" w:rsidRDefault="00E85AD9" w:rsidP="00E85A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Учёт отталкивания частиц по Ван-дер-Ваальсу</w:t>
      </w:r>
    </w:p>
    <w:p w14:paraId="3C860306" w14:textId="77777777" w:rsidR="00E85AD9" w:rsidRDefault="00E85AD9" w:rsidP="00E85A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2.7 Коррекция подхода Ван-дер-Ваальса</w:t>
      </w:r>
    </w:p>
    <w:p w14:paraId="7C2ED91D" w14:textId="77777777" w:rsidR="00E85AD9" w:rsidRDefault="00E85AD9" w:rsidP="00E85A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2.8 Влияние квантовости частиц на кластеризацию</w:t>
      </w:r>
    </w:p>
    <w:p w14:paraId="2C4C28DE" w14:textId="77777777" w:rsidR="00E85AD9" w:rsidRDefault="00E85AD9" w:rsidP="00E85A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Ж. Деконфайнмент в бескварковых моделях</w:t>
      </w:r>
    </w:p>
    <w:p w14:paraId="00C8A5E4" w14:textId="77777777" w:rsidR="00E85AD9" w:rsidRDefault="00E85AD9" w:rsidP="00E85A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Модель с правилами запрета</w:t>
      </w:r>
    </w:p>
    <w:p w14:paraId="2C90DC1E" w14:textId="77777777" w:rsidR="00E85AD9" w:rsidRDefault="00E85AD9" w:rsidP="00E85A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3.2 Поведение модели с правилами запрета</w:t>
      </w:r>
    </w:p>
    <w:p w14:paraId="4C593EE5" w14:textId="77777777" w:rsidR="00E85AD9" w:rsidRDefault="00E85AD9" w:rsidP="00E85A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Термодинамически согласованный метод описания глюонной плазмы</w:t>
      </w:r>
    </w:p>
    <w:p w14:paraId="16CEADEC" w14:textId="77777777" w:rsidR="00E85AD9" w:rsidRDefault="00E85AD9" w:rsidP="00E85A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Газ глюболов в приближении Хартри</w:t>
      </w:r>
    </w:p>
    <w:p w14:paraId="11F306E9" w14:textId="77777777" w:rsidR="00E85AD9" w:rsidRDefault="00E85AD9" w:rsidP="00E85A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3.5 Термодинамически согласованное описание </w:t>
      </w:r>
      <w:proofErr w:type="gramStart"/>
      <w:r>
        <w:rPr>
          <w:rFonts w:ascii="Arial" w:hAnsi="Arial" w:cs="Arial"/>
          <w:color w:val="333333"/>
          <w:sz w:val="21"/>
          <w:szCs w:val="21"/>
        </w:rPr>
        <w:t>смеси .</w:t>
      </w:r>
      <w:proofErr w:type="gramEnd"/>
      <w:r>
        <w:rPr>
          <w:rFonts w:ascii="Arial" w:hAnsi="Arial" w:cs="Arial"/>
          <w:color w:val="333333"/>
          <w:sz w:val="21"/>
          <w:szCs w:val="21"/>
        </w:rPr>
        <w:t>стр.</w:t>
      </w:r>
    </w:p>
    <w:p w14:paraId="335CD9C2" w14:textId="77777777" w:rsidR="00E85AD9" w:rsidRDefault="00E85AD9" w:rsidP="00E85A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Результаты рассмотрения модели с коррекцией</w:t>
      </w:r>
    </w:p>
    <w:p w14:paraId="0C1ABB66" w14:textId="77777777" w:rsidR="00E85AD9" w:rsidRDefault="00E85AD9" w:rsidP="00E85A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П.Деконфайнмент в Л</w:t>
      </w:r>
      <w:proofErr w:type="gramStart"/>
      <w:r>
        <w:rPr>
          <w:rFonts w:ascii="Arial" w:hAnsi="Arial" w:cs="Arial"/>
          <w:color w:val="333333"/>
          <w:sz w:val="21"/>
          <w:szCs w:val="21"/>
        </w:rPr>
        <w:t>/(</w:t>
      </w:r>
      <w:proofErr w:type="gramEnd"/>
      <w:r>
        <w:rPr>
          <w:rFonts w:ascii="Arial" w:hAnsi="Arial" w:cs="Arial"/>
          <w:color w:val="333333"/>
          <w:sz w:val="21"/>
          <w:szCs w:val="21"/>
        </w:rPr>
        <w:t>3) теории с кварками</w:t>
      </w:r>
    </w:p>
    <w:p w14:paraId="7893FC50" w14:textId="77777777" w:rsidR="00E85AD9" w:rsidRDefault="00E85AD9" w:rsidP="00E85A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Условия гетерофазного равновесия смеси адронов с плазмой</w:t>
      </w:r>
    </w:p>
    <w:p w14:paraId="6043751C" w14:textId="77777777" w:rsidR="00E85AD9" w:rsidRDefault="00E85AD9" w:rsidP="00E85A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ДеконфаЙнмент при =0 в модели с правилами запрета</w:t>
      </w:r>
    </w:p>
    <w:p w14:paraId="16F08A51" w14:textId="77777777" w:rsidR="00E85AD9" w:rsidRDefault="00E85AD9" w:rsidP="00E85A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Кварк-адронная смесь в модели с коррекцией при</w:t>
      </w:r>
    </w:p>
    <w:p w14:paraId="24F7026B" w14:textId="77777777" w:rsidR="00E85AD9" w:rsidRDefault="00E85AD9" w:rsidP="00E85A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4.4 Кварк-адронная смесь при конечных барионных </w:t>
      </w:r>
      <w:proofErr w:type="gramStart"/>
      <w:r>
        <w:rPr>
          <w:rFonts w:ascii="Arial" w:hAnsi="Arial" w:cs="Arial"/>
          <w:color w:val="333333"/>
          <w:sz w:val="21"/>
          <w:szCs w:val="21"/>
        </w:rPr>
        <w:t>плотностях .</w:t>
      </w:r>
      <w:proofErr w:type="gramEnd"/>
      <w:r>
        <w:rPr>
          <w:rFonts w:ascii="Arial" w:hAnsi="Arial" w:cs="Arial"/>
          <w:color w:val="333333"/>
          <w:sz w:val="21"/>
          <w:szCs w:val="21"/>
        </w:rPr>
        <w:t xml:space="preserve"> ПО</w:t>
      </w:r>
    </w:p>
    <w:p w14:paraId="69F09626" w14:textId="2A876175" w:rsidR="005E23AC" w:rsidRPr="00E85AD9" w:rsidRDefault="005E23AC" w:rsidP="00E85AD9"/>
    <w:sectPr w:rsidR="005E23AC" w:rsidRPr="00E85AD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EE535" w14:textId="77777777" w:rsidR="00947055" w:rsidRDefault="00947055">
      <w:pPr>
        <w:spacing w:after="0" w:line="240" w:lineRule="auto"/>
      </w:pPr>
      <w:r>
        <w:separator/>
      </w:r>
    </w:p>
  </w:endnote>
  <w:endnote w:type="continuationSeparator" w:id="0">
    <w:p w14:paraId="3280990D" w14:textId="77777777" w:rsidR="00947055" w:rsidRDefault="00947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14614" w14:textId="77777777" w:rsidR="00947055" w:rsidRDefault="00947055"/>
    <w:p w14:paraId="13AA612F" w14:textId="77777777" w:rsidR="00947055" w:rsidRDefault="00947055"/>
    <w:p w14:paraId="0A5EFB7B" w14:textId="77777777" w:rsidR="00947055" w:rsidRDefault="00947055"/>
    <w:p w14:paraId="78E24205" w14:textId="77777777" w:rsidR="00947055" w:rsidRDefault="00947055"/>
    <w:p w14:paraId="1B0BBDB1" w14:textId="77777777" w:rsidR="00947055" w:rsidRDefault="00947055"/>
    <w:p w14:paraId="2C78FD27" w14:textId="77777777" w:rsidR="00947055" w:rsidRDefault="00947055"/>
    <w:p w14:paraId="38949071" w14:textId="77777777" w:rsidR="00947055" w:rsidRDefault="0094705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372368F" wp14:editId="6FA3D88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97DABF" w14:textId="77777777" w:rsidR="00947055" w:rsidRDefault="0094705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72368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F97DABF" w14:textId="77777777" w:rsidR="00947055" w:rsidRDefault="0094705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6761FA2" w14:textId="77777777" w:rsidR="00947055" w:rsidRDefault="00947055"/>
    <w:p w14:paraId="6CA868DC" w14:textId="77777777" w:rsidR="00947055" w:rsidRDefault="00947055"/>
    <w:p w14:paraId="13CBA60D" w14:textId="77777777" w:rsidR="00947055" w:rsidRDefault="0094705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BB67EF1" wp14:editId="2330E3E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2BCA4" w14:textId="77777777" w:rsidR="00947055" w:rsidRDefault="00947055"/>
                          <w:p w14:paraId="013BC64F" w14:textId="77777777" w:rsidR="00947055" w:rsidRDefault="0094705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B67EF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EF2BCA4" w14:textId="77777777" w:rsidR="00947055" w:rsidRDefault="00947055"/>
                    <w:p w14:paraId="013BC64F" w14:textId="77777777" w:rsidR="00947055" w:rsidRDefault="0094705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6AE0A62" w14:textId="77777777" w:rsidR="00947055" w:rsidRDefault="00947055"/>
    <w:p w14:paraId="5DD0F3EB" w14:textId="77777777" w:rsidR="00947055" w:rsidRDefault="00947055">
      <w:pPr>
        <w:rPr>
          <w:sz w:val="2"/>
          <w:szCs w:val="2"/>
        </w:rPr>
      </w:pPr>
    </w:p>
    <w:p w14:paraId="342A5F8E" w14:textId="77777777" w:rsidR="00947055" w:rsidRDefault="00947055"/>
    <w:p w14:paraId="58A0949D" w14:textId="77777777" w:rsidR="00947055" w:rsidRDefault="00947055">
      <w:pPr>
        <w:spacing w:after="0" w:line="240" w:lineRule="auto"/>
      </w:pPr>
    </w:p>
  </w:footnote>
  <w:footnote w:type="continuationSeparator" w:id="0">
    <w:p w14:paraId="1DEB9010" w14:textId="77777777" w:rsidR="00947055" w:rsidRDefault="009470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55"/>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148165</TotalTime>
  <Pages>2</Pages>
  <Words>240</Words>
  <Characters>1372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4141</cp:revision>
  <cp:lastPrinted>2009-02-06T05:36:00Z</cp:lastPrinted>
  <dcterms:created xsi:type="dcterms:W3CDTF">2024-01-07T13:43:00Z</dcterms:created>
  <dcterms:modified xsi:type="dcterms:W3CDTF">2025-08-19T19:57:00Z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