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486D0" w14:textId="12FDC45D" w:rsidR="00C97E19" w:rsidRDefault="00263050" w:rsidP="00263050">
      <w:pPr>
        <w:rPr>
          <w:rFonts w:ascii="Verdana" w:hAnsi="Verdana"/>
          <w:b/>
          <w:bCs/>
          <w:color w:val="000000"/>
          <w:shd w:val="clear" w:color="auto" w:fill="FFFFFF"/>
        </w:rPr>
      </w:pPr>
      <w:r>
        <w:rPr>
          <w:rFonts w:ascii="Verdana" w:hAnsi="Verdana"/>
          <w:b/>
          <w:bCs/>
          <w:color w:val="000000"/>
          <w:shd w:val="clear" w:color="auto" w:fill="FFFFFF"/>
        </w:rPr>
        <w:t>Бодревич Богдан Богданович. Регіональні та індивідуальні особливості вибору антигелікобактерної терапії хворих на виразкову хворобу дванадцятипалої кишки: Дис... канд. мед. наук: 14.01.02 / Львівський держ. медичний ун-т ім. Данила Галицького. - Л., 2002. - 171арк. - Бібліогр.: арк. 147-166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63050" w:rsidRPr="00263050" w14:paraId="0B651B26" w14:textId="77777777" w:rsidTr="0026305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63050" w:rsidRPr="00263050" w14:paraId="2A27A537" w14:textId="77777777">
              <w:trPr>
                <w:tblCellSpacing w:w="0" w:type="dxa"/>
              </w:trPr>
              <w:tc>
                <w:tcPr>
                  <w:tcW w:w="0" w:type="auto"/>
                  <w:vAlign w:val="center"/>
                  <w:hideMark/>
                </w:tcPr>
                <w:p w14:paraId="2AB140BC" w14:textId="77777777" w:rsidR="00263050" w:rsidRPr="00263050" w:rsidRDefault="00263050" w:rsidP="002630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3050">
                    <w:rPr>
                      <w:rFonts w:ascii="Times New Roman" w:eastAsia="Times New Roman" w:hAnsi="Times New Roman" w:cs="Times New Roman"/>
                      <w:b/>
                      <w:bCs/>
                      <w:sz w:val="24"/>
                      <w:szCs w:val="24"/>
                    </w:rPr>
                    <w:lastRenderedPageBreak/>
                    <w:t>Бодревич Б.Б. Регіональні та індивідуальні особливості вибору антигелікобактерної терапії хворих на виразкову хворобу дванадцятипалої кишки.</w:t>
                  </w:r>
                  <w:r w:rsidRPr="00263050">
                    <w:rPr>
                      <w:rFonts w:ascii="Times New Roman" w:eastAsia="Times New Roman" w:hAnsi="Times New Roman" w:cs="Times New Roman"/>
                      <w:sz w:val="24"/>
                      <w:szCs w:val="24"/>
                    </w:rPr>
                    <w:t> – Рукопис.</w:t>
                  </w:r>
                </w:p>
                <w:p w14:paraId="6D0D2EFB" w14:textId="77777777" w:rsidR="00263050" w:rsidRPr="00263050" w:rsidRDefault="00263050" w:rsidP="002630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3050">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14.01.02 – внутрішні хвороби. – Івано-Франківська державна медична академія МОЗ України, Івано-Франківськ, 2003.</w:t>
                  </w:r>
                </w:p>
                <w:p w14:paraId="2DD0465A" w14:textId="77777777" w:rsidR="00263050" w:rsidRPr="00263050" w:rsidRDefault="00263050" w:rsidP="002630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3050">
                    <w:rPr>
                      <w:rFonts w:ascii="Times New Roman" w:eastAsia="Times New Roman" w:hAnsi="Times New Roman" w:cs="Times New Roman"/>
                      <w:sz w:val="24"/>
                      <w:szCs w:val="24"/>
                    </w:rPr>
                    <w:t>Об’єкт дослідження – хворі на ВХДК; мета дослідження</w:t>
                  </w:r>
                  <w:r w:rsidRPr="00263050">
                    <w:rPr>
                      <w:rFonts w:ascii="Times New Roman" w:eastAsia="Times New Roman" w:hAnsi="Times New Roman" w:cs="Times New Roman"/>
                      <w:b/>
                      <w:bCs/>
                      <w:sz w:val="24"/>
                      <w:szCs w:val="24"/>
                    </w:rPr>
                    <w:t> </w:t>
                  </w:r>
                  <w:r w:rsidRPr="00263050">
                    <w:rPr>
                      <w:rFonts w:ascii="Times New Roman" w:eastAsia="Times New Roman" w:hAnsi="Times New Roman" w:cs="Times New Roman"/>
                      <w:sz w:val="24"/>
                      <w:szCs w:val="24"/>
                    </w:rPr>
                    <w:t>– поліпшення ефективності антигелікобактерної терапії хворих на ВХДК; методи – загальноприйняті методи клінічного та лабораторного обстеження; езофагогастродуоденофіброскопія, морфологічне дослідження біоптатів шлунка, швидка уреазна реакція, бактеріологічний метод, методи варіаційної статистики. Наукова новизна – вперше встановлено, що у хворих на пептичну виразку мешканців Львівщини спостерігається значна кількість штамів Нр, резистентних до антибіотиків. Найпоширеніша стійкість до метронідазолу – 66,2%, найменше – до кларитроміцину – 9,1% та амоксициліну – 7,6% штамів. Доведено, що терапією вибору для хворих на виразкову хворобу в Україні є комбінація омепразолу, кларитроміцину й амоксициліну, а застосування препарату пілобакт низькоефективне (ерадикація в 66,7% хворих) у зв’язку зі значним поширенням резистентності до нітроімідазолів. Обгрунтовано принцип індивідуального підходу до вибору антигелікобактерних компонентів (ерадикація в 95,6% випадків). Вперше запропоновано альтернативний режим антигелікобактерної терапії комбінацією омепразолу, колоїдного вісмуту й урсодезоксихолевої кислоти з високою ерадикаційною активністю – 92,9%, який може застосовуватись у хворих з антибіотикорезистентними штамами інфекції Helicobacter pylori.</w:t>
                  </w:r>
                </w:p>
              </w:tc>
            </w:tr>
          </w:tbl>
          <w:p w14:paraId="4DFA0380" w14:textId="77777777" w:rsidR="00263050" w:rsidRPr="00263050" w:rsidRDefault="00263050" w:rsidP="00263050">
            <w:pPr>
              <w:spacing w:after="0" w:line="240" w:lineRule="auto"/>
              <w:rPr>
                <w:rFonts w:ascii="Times New Roman" w:eastAsia="Times New Roman" w:hAnsi="Times New Roman" w:cs="Times New Roman"/>
                <w:sz w:val="24"/>
                <w:szCs w:val="24"/>
              </w:rPr>
            </w:pPr>
          </w:p>
        </w:tc>
      </w:tr>
      <w:tr w:rsidR="00263050" w:rsidRPr="00263050" w14:paraId="2A028F89" w14:textId="77777777" w:rsidTr="0026305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63050" w:rsidRPr="00263050" w14:paraId="2CF9C4DA" w14:textId="77777777">
              <w:trPr>
                <w:tblCellSpacing w:w="0" w:type="dxa"/>
              </w:trPr>
              <w:tc>
                <w:tcPr>
                  <w:tcW w:w="0" w:type="auto"/>
                  <w:vAlign w:val="center"/>
                  <w:hideMark/>
                </w:tcPr>
                <w:p w14:paraId="40CF2585" w14:textId="77777777" w:rsidR="00263050" w:rsidRPr="00263050" w:rsidRDefault="00263050" w:rsidP="00263050">
                  <w:pPr>
                    <w:framePr w:hSpace="45" w:wrap="around" w:vAnchor="text" w:hAnchor="text" w:xAlign="right" w:yAlign="cente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263050">
                    <w:rPr>
                      <w:rFonts w:ascii="Times New Roman" w:eastAsia="Times New Roman" w:hAnsi="Times New Roman" w:cs="Times New Roman"/>
                      <w:sz w:val="24"/>
                      <w:szCs w:val="24"/>
                    </w:rPr>
                    <w:t>У дисертації теоретично узагальнено і подано нове розв’язання наукового завдання адекватного лікування ВХДК, що виявляється в розробленні режимів антигелікобактерної терапії, які враховують регіональну й індивідуальну чутливість штамів Нр до антибіотиків.</w:t>
                  </w:r>
                </w:p>
                <w:p w14:paraId="65DF394E" w14:textId="77777777" w:rsidR="00263050" w:rsidRPr="00263050" w:rsidRDefault="00263050" w:rsidP="00263050">
                  <w:pPr>
                    <w:framePr w:hSpace="45" w:wrap="around" w:vAnchor="text" w:hAnchor="text" w:xAlign="right" w:yAlign="cente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263050">
                    <w:rPr>
                      <w:rFonts w:ascii="Times New Roman" w:eastAsia="Times New Roman" w:hAnsi="Times New Roman" w:cs="Times New Roman"/>
                      <w:sz w:val="24"/>
                      <w:szCs w:val="24"/>
                    </w:rPr>
                    <w:t>У 25,5% хворих на ВХДК, мешканців Львівської області, має місце повна резистентність до метронідазолу, 19,5% – тинідазолу, 7,6% – еритроміцину, 2,1% – ампіциліну, 1,4% – кларитроміцину, 0,7% – амоксициліну. Не виявлено повної стійкості до тетрацикліну, метацикліну та фурадоніну. Поширення низькочутливих штамів становить: до метронідазолу – 40,7%, тетрацикліну – 37,2%, метацикліну – 26,2%, фурадоніну – 20,0%, ампіциліну – 17,2%, еритроміцину – 14,5%, тинідазолу – 12,2%, кларитроміцину – 7,7%, амоксициліну – 6,9%.</w:t>
                  </w:r>
                </w:p>
                <w:p w14:paraId="3FA644F2" w14:textId="77777777" w:rsidR="00263050" w:rsidRPr="00263050" w:rsidRDefault="00263050" w:rsidP="00263050">
                  <w:pPr>
                    <w:framePr w:hSpace="45" w:wrap="around" w:vAnchor="text" w:hAnchor="text" w:xAlign="right" w:yAlign="cente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263050">
                    <w:rPr>
                      <w:rFonts w:ascii="Times New Roman" w:eastAsia="Times New Roman" w:hAnsi="Times New Roman" w:cs="Times New Roman"/>
                      <w:sz w:val="24"/>
                      <w:szCs w:val="24"/>
                    </w:rPr>
                    <w:t>Ефективність ерадикації Нр-інфекції при застосуванні комбінації омепразолу 20 мг, кларитроміцину 500 мг та амоксициліну 1000 мг двічі на добу впродовж семи днів становить 93,3%. Ця комбінація забезпечує загоєння виразок цибулини дванадцятипалої кишки у 88,9% випадків, ерозивних змін слизової оболонки дванадцятипалої кишки – лише у 20,0%.</w:t>
                  </w:r>
                </w:p>
                <w:p w14:paraId="68AFC90F" w14:textId="77777777" w:rsidR="00263050" w:rsidRPr="00263050" w:rsidRDefault="00263050" w:rsidP="00263050">
                  <w:pPr>
                    <w:framePr w:hSpace="45" w:wrap="around" w:vAnchor="text" w:hAnchor="text" w:xAlign="right" w:yAlign="cente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263050">
                    <w:rPr>
                      <w:rFonts w:ascii="Times New Roman" w:eastAsia="Times New Roman" w:hAnsi="Times New Roman" w:cs="Times New Roman"/>
                      <w:sz w:val="24"/>
                      <w:szCs w:val="24"/>
                    </w:rPr>
                    <w:t>Лікування ВХДК комбінацією омепразолу 20 мг, кларитроміцину 250 мг та тинідазолу 500 мг (препарат пілобакт) двічі на добу впродовж семи днів, без урахування індивідуальної чутливості штамів Нр до антибіотиків, забезпечує ерадикацію гелікобактерної інфекції – 66,7% хворих. Загоєння виразок цибулини дванадцятипалої кишки після застосування пілобакту становить 91,7%, ерозивних змін слизової оболонки дванадцятипалої кишки – 60,0%, згасання запальних змін слизової оболонки дванадцятипалої кишки – 17,4%.</w:t>
                  </w:r>
                </w:p>
                <w:p w14:paraId="3AC139CA" w14:textId="77777777" w:rsidR="00263050" w:rsidRPr="00263050" w:rsidRDefault="00263050" w:rsidP="00263050">
                  <w:pPr>
                    <w:framePr w:hSpace="45" w:wrap="around" w:vAnchor="text" w:hAnchor="text" w:xAlign="right" w:yAlign="cente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263050">
                    <w:rPr>
                      <w:rFonts w:ascii="Times New Roman" w:eastAsia="Times New Roman" w:hAnsi="Times New Roman" w:cs="Times New Roman"/>
                      <w:sz w:val="24"/>
                      <w:szCs w:val="24"/>
                    </w:rPr>
                    <w:lastRenderedPageBreak/>
                    <w:t>Індивідуальний підхід до призначення антигелікобактерної терапії після попереднього визначення чутливості до антибіотиків дає змогу досягти ерадикації у 96,9% випадків, загоєння виразок цибулини дванадцятипалої кишки – у 100%.</w:t>
                  </w:r>
                </w:p>
                <w:p w14:paraId="21D2BF18" w14:textId="77777777" w:rsidR="00263050" w:rsidRPr="00263050" w:rsidRDefault="00263050" w:rsidP="00263050">
                  <w:pPr>
                    <w:framePr w:hSpace="45" w:wrap="around" w:vAnchor="text" w:hAnchor="text" w:xAlign="right" w:yAlign="cente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263050">
                    <w:rPr>
                      <w:rFonts w:ascii="Times New Roman" w:eastAsia="Times New Roman" w:hAnsi="Times New Roman" w:cs="Times New Roman"/>
                      <w:sz w:val="24"/>
                      <w:szCs w:val="24"/>
                    </w:rPr>
                    <w:t>Альтернативний потрійний режим антигелікобактерної терапії без застосування антибіотиків, який містить омепразол 20 мг по 2 рази, бісмофальк 2 таблетки по 3 рази й урсофальк 250 мг по 2 рази тривалістю 10 днів з наступною підтримуючою терапією урсофальком 250 мг по 2 рази протягом 20 днів супроводжується ерадикацією Нр в 92,9% випадків, загоєнням виразок цибулини дванадцятипалої кишки – в 91,7%, ерозивних змін слизової оболонки дванадцятипалої кишки – в 57,1% випадків і може застосовуватись у хворих з антибіотикорезистентними штамами.</w:t>
                  </w:r>
                </w:p>
              </w:tc>
            </w:tr>
          </w:tbl>
          <w:p w14:paraId="05019D77" w14:textId="77777777" w:rsidR="00263050" w:rsidRPr="00263050" w:rsidRDefault="00263050" w:rsidP="00263050">
            <w:pPr>
              <w:spacing w:after="0" w:line="240" w:lineRule="auto"/>
              <w:rPr>
                <w:rFonts w:ascii="Times New Roman" w:eastAsia="Times New Roman" w:hAnsi="Times New Roman" w:cs="Times New Roman"/>
                <w:sz w:val="24"/>
                <w:szCs w:val="24"/>
              </w:rPr>
            </w:pPr>
          </w:p>
        </w:tc>
      </w:tr>
    </w:tbl>
    <w:p w14:paraId="2C62EA72" w14:textId="77777777" w:rsidR="00263050" w:rsidRPr="00263050" w:rsidRDefault="00263050" w:rsidP="00263050"/>
    <w:sectPr w:rsidR="00263050" w:rsidRPr="0026305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BE038" w14:textId="77777777" w:rsidR="003A3B02" w:rsidRDefault="003A3B02">
      <w:pPr>
        <w:spacing w:after="0" w:line="240" w:lineRule="auto"/>
      </w:pPr>
      <w:r>
        <w:separator/>
      </w:r>
    </w:p>
  </w:endnote>
  <w:endnote w:type="continuationSeparator" w:id="0">
    <w:p w14:paraId="4DA299C4" w14:textId="77777777" w:rsidR="003A3B02" w:rsidRDefault="003A3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07B12" w14:textId="77777777" w:rsidR="003A3B02" w:rsidRDefault="003A3B02">
      <w:pPr>
        <w:spacing w:after="0" w:line="240" w:lineRule="auto"/>
      </w:pPr>
      <w:r>
        <w:separator/>
      </w:r>
    </w:p>
  </w:footnote>
  <w:footnote w:type="continuationSeparator" w:id="0">
    <w:p w14:paraId="08E9CEF9" w14:textId="77777777" w:rsidR="003A3B02" w:rsidRDefault="003A3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A3B0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11CF"/>
    <w:multiLevelType w:val="multilevel"/>
    <w:tmpl w:val="AA3C4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D4790"/>
    <w:multiLevelType w:val="multilevel"/>
    <w:tmpl w:val="4F6E9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6865DE"/>
    <w:multiLevelType w:val="multilevel"/>
    <w:tmpl w:val="A6082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264E8"/>
    <w:multiLevelType w:val="multilevel"/>
    <w:tmpl w:val="A358D5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A91A1A"/>
    <w:multiLevelType w:val="multilevel"/>
    <w:tmpl w:val="062C15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BE0BC4"/>
    <w:multiLevelType w:val="multilevel"/>
    <w:tmpl w:val="29CE2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631C98"/>
    <w:multiLevelType w:val="multilevel"/>
    <w:tmpl w:val="3C001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9B7316"/>
    <w:multiLevelType w:val="multilevel"/>
    <w:tmpl w:val="AC167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DB1446"/>
    <w:multiLevelType w:val="multilevel"/>
    <w:tmpl w:val="D1543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08224D"/>
    <w:multiLevelType w:val="multilevel"/>
    <w:tmpl w:val="44C6E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906B57"/>
    <w:multiLevelType w:val="multilevel"/>
    <w:tmpl w:val="87148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AE3B3E"/>
    <w:multiLevelType w:val="multilevel"/>
    <w:tmpl w:val="CFCA0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F24ED5"/>
    <w:multiLevelType w:val="multilevel"/>
    <w:tmpl w:val="05CCE4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B0074D"/>
    <w:multiLevelType w:val="multilevel"/>
    <w:tmpl w:val="8040B3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C108DA"/>
    <w:multiLevelType w:val="multilevel"/>
    <w:tmpl w:val="A9EA2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601D01"/>
    <w:multiLevelType w:val="multilevel"/>
    <w:tmpl w:val="E348F7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9459A8"/>
    <w:multiLevelType w:val="multilevel"/>
    <w:tmpl w:val="76E83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2B3BA7"/>
    <w:multiLevelType w:val="multilevel"/>
    <w:tmpl w:val="8D489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1C4247"/>
    <w:multiLevelType w:val="multilevel"/>
    <w:tmpl w:val="A08E1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F72474"/>
    <w:multiLevelType w:val="multilevel"/>
    <w:tmpl w:val="4FCA6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023688"/>
    <w:multiLevelType w:val="multilevel"/>
    <w:tmpl w:val="926A51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5336B6"/>
    <w:multiLevelType w:val="multilevel"/>
    <w:tmpl w:val="54385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9E7BF7"/>
    <w:multiLevelType w:val="multilevel"/>
    <w:tmpl w:val="058AF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4A5983"/>
    <w:multiLevelType w:val="multilevel"/>
    <w:tmpl w:val="994EB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923372"/>
    <w:multiLevelType w:val="multilevel"/>
    <w:tmpl w:val="CDC0E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582291"/>
    <w:multiLevelType w:val="multilevel"/>
    <w:tmpl w:val="9DC40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131032"/>
    <w:multiLevelType w:val="multilevel"/>
    <w:tmpl w:val="F0E2B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17438F"/>
    <w:multiLevelType w:val="multilevel"/>
    <w:tmpl w:val="1444D2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824D6C"/>
    <w:multiLevelType w:val="multilevel"/>
    <w:tmpl w:val="BB320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7471C1"/>
    <w:multiLevelType w:val="multilevel"/>
    <w:tmpl w:val="7180A3C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8B2202"/>
    <w:multiLevelType w:val="multilevel"/>
    <w:tmpl w:val="C1349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042F30"/>
    <w:multiLevelType w:val="multilevel"/>
    <w:tmpl w:val="F6EC7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7F7BED"/>
    <w:multiLevelType w:val="multilevel"/>
    <w:tmpl w:val="05A619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E348D8"/>
    <w:multiLevelType w:val="multilevel"/>
    <w:tmpl w:val="78FE1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8626E6"/>
    <w:multiLevelType w:val="multilevel"/>
    <w:tmpl w:val="16F04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AE3780"/>
    <w:multiLevelType w:val="multilevel"/>
    <w:tmpl w:val="B448B5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F0B69"/>
    <w:multiLevelType w:val="multilevel"/>
    <w:tmpl w:val="F432C9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232CD0"/>
    <w:multiLevelType w:val="multilevel"/>
    <w:tmpl w:val="C4DEF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D646D4"/>
    <w:multiLevelType w:val="multilevel"/>
    <w:tmpl w:val="F0742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4E66F2"/>
    <w:multiLevelType w:val="multilevel"/>
    <w:tmpl w:val="5F9A2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261790"/>
    <w:multiLevelType w:val="multilevel"/>
    <w:tmpl w:val="340E6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513D53"/>
    <w:multiLevelType w:val="multilevel"/>
    <w:tmpl w:val="D6A87E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FB16BB"/>
    <w:multiLevelType w:val="multilevel"/>
    <w:tmpl w:val="6478D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0"/>
  </w:num>
  <w:num w:numId="3">
    <w:abstractNumId w:val="40"/>
  </w:num>
  <w:num w:numId="4">
    <w:abstractNumId w:val="30"/>
  </w:num>
  <w:num w:numId="5">
    <w:abstractNumId w:val="26"/>
  </w:num>
  <w:num w:numId="6">
    <w:abstractNumId w:val="39"/>
  </w:num>
  <w:num w:numId="7">
    <w:abstractNumId w:val="14"/>
  </w:num>
  <w:num w:numId="8">
    <w:abstractNumId w:val="37"/>
  </w:num>
  <w:num w:numId="9">
    <w:abstractNumId w:val="16"/>
  </w:num>
  <w:num w:numId="10">
    <w:abstractNumId w:val="13"/>
  </w:num>
  <w:num w:numId="11">
    <w:abstractNumId w:val="11"/>
  </w:num>
  <w:num w:numId="12">
    <w:abstractNumId w:val="17"/>
  </w:num>
  <w:num w:numId="13">
    <w:abstractNumId w:val="41"/>
  </w:num>
  <w:num w:numId="14">
    <w:abstractNumId w:val="1"/>
  </w:num>
  <w:num w:numId="15">
    <w:abstractNumId w:val="23"/>
  </w:num>
  <w:num w:numId="16">
    <w:abstractNumId w:val="42"/>
  </w:num>
  <w:num w:numId="17">
    <w:abstractNumId w:val="24"/>
  </w:num>
  <w:num w:numId="18">
    <w:abstractNumId w:val="34"/>
  </w:num>
  <w:num w:numId="19">
    <w:abstractNumId w:val="10"/>
  </w:num>
  <w:num w:numId="20">
    <w:abstractNumId w:val="25"/>
  </w:num>
  <w:num w:numId="21">
    <w:abstractNumId w:val="18"/>
  </w:num>
  <w:num w:numId="22">
    <w:abstractNumId w:val="2"/>
  </w:num>
  <w:num w:numId="23">
    <w:abstractNumId w:val="22"/>
  </w:num>
  <w:num w:numId="24">
    <w:abstractNumId w:val="15"/>
  </w:num>
  <w:num w:numId="25">
    <w:abstractNumId w:val="28"/>
  </w:num>
  <w:num w:numId="26">
    <w:abstractNumId w:val="0"/>
  </w:num>
  <w:num w:numId="27">
    <w:abstractNumId w:val="5"/>
  </w:num>
  <w:num w:numId="28">
    <w:abstractNumId w:val="3"/>
  </w:num>
  <w:num w:numId="29">
    <w:abstractNumId w:val="33"/>
  </w:num>
  <w:num w:numId="30">
    <w:abstractNumId w:val="12"/>
  </w:num>
  <w:num w:numId="31">
    <w:abstractNumId w:val="19"/>
  </w:num>
  <w:num w:numId="32">
    <w:abstractNumId w:val="6"/>
  </w:num>
  <w:num w:numId="33">
    <w:abstractNumId w:val="32"/>
  </w:num>
  <w:num w:numId="34">
    <w:abstractNumId w:val="35"/>
  </w:num>
  <w:num w:numId="35">
    <w:abstractNumId w:val="36"/>
  </w:num>
  <w:num w:numId="36">
    <w:abstractNumId w:val="9"/>
  </w:num>
  <w:num w:numId="37">
    <w:abstractNumId w:val="27"/>
  </w:num>
  <w:num w:numId="38">
    <w:abstractNumId w:val="7"/>
  </w:num>
  <w:num w:numId="39">
    <w:abstractNumId w:val="38"/>
  </w:num>
  <w:num w:numId="40">
    <w:abstractNumId w:val="4"/>
  </w:num>
  <w:num w:numId="41">
    <w:abstractNumId w:val="21"/>
  </w:num>
  <w:num w:numId="42">
    <w:abstractNumId w:val="29"/>
  </w:num>
  <w:num w:numId="43">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904"/>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781"/>
    <w:rsid w:val="000B2827"/>
    <w:rsid w:val="000B288A"/>
    <w:rsid w:val="000B28C4"/>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4086"/>
    <w:rsid w:val="000D4149"/>
    <w:rsid w:val="000D439C"/>
    <w:rsid w:val="000D44B0"/>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0E0"/>
    <w:rsid w:val="00175284"/>
    <w:rsid w:val="001752AC"/>
    <w:rsid w:val="001752E1"/>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6FB"/>
    <w:rsid w:val="00185759"/>
    <w:rsid w:val="001858C9"/>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88B"/>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C27"/>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02"/>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B1"/>
    <w:rsid w:val="003B271E"/>
    <w:rsid w:val="003B280D"/>
    <w:rsid w:val="003B2926"/>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AE1"/>
    <w:rsid w:val="003E7C6C"/>
    <w:rsid w:val="003E7E77"/>
    <w:rsid w:val="003F005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D23"/>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10"/>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9F9"/>
    <w:rsid w:val="00481BA2"/>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0"/>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2C54"/>
    <w:rsid w:val="005231C3"/>
    <w:rsid w:val="005231F2"/>
    <w:rsid w:val="00523263"/>
    <w:rsid w:val="005235F9"/>
    <w:rsid w:val="0052367E"/>
    <w:rsid w:val="0052388A"/>
    <w:rsid w:val="005238D3"/>
    <w:rsid w:val="00523AB1"/>
    <w:rsid w:val="00523BD8"/>
    <w:rsid w:val="00524192"/>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6B"/>
    <w:rsid w:val="00625FDC"/>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2B8"/>
    <w:rsid w:val="00645315"/>
    <w:rsid w:val="006453CB"/>
    <w:rsid w:val="00645513"/>
    <w:rsid w:val="00645531"/>
    <w:rsid w:val="006459DD"/>
    <w:rsid w:val="00645A53"/>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D1A"/>
    <w:rsid w:val="006E6DE3"/>
    <w:rsid w:val="006E6FCF"/>
    <w:rsid w:val="006E73C9"/>
    <w:rsid w:val="006E756E"/>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8F"/>
    <w:rsid w:val="006F7A95"/>
    <w:rsid w:val="006F7BEA"/>
    <w:rsid w:val="006F7C7C"/>
    <w:rsid w:val="006F7D90"/>
    <w:rsid w:val="006F7D9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AA7"/>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18"/>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AB0"/>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7FE"/>
    <w:rsid w:val="007C7AA6"/>
    <w:rsid w:val="007C7B01"/>
    <w:rsid w:val="007C7B60"/>
    <w:rsid w:val="007C7C5F"/>
    <w:rsid w:val="007C7C80"/>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EB"/>
    <w:rsid w:val="00803B05"/>
    <w:rsid w:val="00803BB5"/>
    <w:rsid w:val="00803D9C"/>
    <w:rsid w:val="00803E7F"/>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CD0"/>
    <w:rsid w:val="008E1F27"/>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141"/>
    <w:rsid w:val="008E676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105E"/>
    <w:rsid w:val="00911484"/>
    <w:rsid w:val="009115B3"/>
    <w:rsid w:val="0091171B"/>
    <w:rsid w:val="009117FD"/>
    <w:rsid w:val="009119E5"/>
    <w:rsid w:val="00911B09"/>
    <w:rsid w:val="00911BD9"/>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6D25"/>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BC"/>
    <w:rsid w:val="00A571D0"/>
    <w:rsid w:val="00A57224"/>
    <w:rsid w:val="00A5734A"/>
    <w:rsid w:val="00A573ED"/>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6AC"/>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AC6"/>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1F0"/>
    <w:rsid w:val="00B36303"/>
    <w:rsid w:val="00B363B4"/>
    <w:rsid w:val="00B363BD"/>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B26"/>
    <w:rsid w:val="00B60B64"/>
    <w:rsid w:val="00B60C2F"/>
    <w:rsid w:val="00B60D7F"/>
    <w:rsid w:val="00B60EAB"/>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6F3B"/>
    <w:rsid w:val="00B9705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98D"/>
    <w:rsid w:val="00C97CEC"/>
    <w:rsid w:val="00C97E19"/>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B7AC1"/>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5"/>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71F"/>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C66"/>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1D9"/>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386"/>
    <w:rsid w:val="00FB483C"/>
    <w:rsid w:val="00FB4A14"/>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CAE"/>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94"/>
    <w:rsid w:val="00FC47DA"/>
    <w:rsid w:val="00FC48EA"/>
    <w:rsid w:val="00FC4B27"/>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70C"/>
    <w:rsid w:val="00FF67BD"/>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114290</TotalTime>
  <Pages>3</Pages>
  <Words>647</Words>
  <Characters>3693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3265</cp:revision>
  <dcterms:created xsi:type="dcterms:W3CDTF">2024-06-20T08:51:00Z</dcterms:created>
  <dcterms:modified xsi:type="dcterms:W3CDTF">2025-01-09T13:41:00Z</dcterms:modified>
  <cp:category/>
</cp:coreProperties>
</file>