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6A351" w14:textId="290A8FFB" w:rsidR="003428BF" w:rsidRPr="00472E42" w:rsidRDefault="00472E42" w:rsidP="00472E42">
      <w:r>
        <w:rPr>
          <w:rFonts w:ascii="Verdana" w:hAnsi="Verdana"/>
          <w:b/>
          <w:bCs/>
          <w:color w:val="000000"/>
          <w:shd w:val="clear" w:color="auto" w:fill="FFFFFF"/>
        </w:rPr>
        <w:t>Леоненко Наталія Станіславівна. Обгрунтування допустимих рівнів впливу похідних сульфонілсечовини на працюючих за показниками біохімічного та імунного гомеостазу : дис... канд. біол. наук: 14.02.01 / АМН України; Інститут медицини праці. — К., 2006. — 160арк. : табл. — Бібліогр.: арк. 132-156.</w:t>
      </w:r>
    </w:p>
    <w:sectPr w:rsidR="003428BF" w:rsidRPr="00472E4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2A17" w14:textId="77777777" w:rsidR="005355AC" w:rsidRDefault="005355AC">
      <w:pPr>
        <w:spacing w:after="0" w:line="240" w:lineRule="auto"/>
      </w:pPr>
      <w:r>
        <w:separator/>
      </w:r>
    </w:p>
  </w:endnote>
  <w:endnote w:type="continuationSeparator" w:id="0">
    <w:p w14:paraId="049291FB" w14:textId="77777777" w:rsidR="005355AC" w:rsidRDefault="0053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6E10" w14:textId="77777777" w:rsidR="005355AC" w:rsidRDefault="005355AC">
      <w:pPr>
        <w:spacing w:after="0" w:line="240" w:lineRule="auto"/>
      </w:pPr>
      <w:r>
        <w:separator/>
      </w:r>
    </w:p>
  </w:footnote>
  <w:footnote w:type="continuationSeparator" w:id="0">
    <w:p w14:paraId="4A503FCA" w14:textId="77777777" w:rsidR="005355AC" w:rsidRDefault="0053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355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AC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118391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3756</cp:revision>
  <dcterms:created xsi:type="dcterms:W3CDTF">2024-06-20T08:51:00Z</dcterms:created>
  <dcterms:modified xsi:type="dcterms:W3CDTF">2025-01-14T19:42:00Z</dcterms:modified>
  <cp:category/>
</cp:coreProperties>
</file>