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4D22C" w14:textId="3DAC8139" w:rsidR="00351357" w:rsidRDefault="00312451" w:rsidP="0031245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Бобоева Назирамох Идиевна. Эволюция государственной власти в историческом Таджикистане (IX-XIV вв.)</w:t>
      </w:r>
      <w:bookmarkEnd w:id="0"/>
      <w:r>
        <w:rPr>
          <w:rFonts w:ascii="Verdana" w:hAnsi="Verdana"/>
          <w:color w:val="000000"/>
          <w:sz w:val="18"/>
          <w:szCs w:val="18"/>
          <w:shd w:val="clear" w:color="auto" w:fill="FFFFFF"/>
        </w:rPr>
        <w:t>: диссертация ... кандидата юридических наук: 12.00.01 / Бобоева Назирамох Идиевна;[Место защиты: Таджикский национальный университет - www.tnu.tj].- Душанбе, 2014.- 201 с.</w:t>
      </w:r>
    </w:p>
    <w:p w14:paraId="5E83C828" w14:textId="77777777" w:rsidR="00312451" w:rsidRPr="00312451" w:rsidRDefault="00312451" w:rsidP="0031245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12451">
        <w:rPr>
          <w:rFonts w:ascii="Verdana" w:eastAsia="Times New Roman" w:hAnsi="Verdana" w:cs="Times New Roman"/>
          <w:b/>
          <w:bCs/>
          <w:color w:val="AC370B"/>
          <w:kern w:val="0"/>
          <w:sz w:val="23"/>
          <w:szCs w:val="23"/>
          <w:lang w:eastAsia="ru-RU"/>
        </w:rPr>
        <w:t>Содержание к диссертации</w:t>
      </w:r>
    </w:p>
    <w:p w14:paraId="00A28E3C"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Введение</w:t>
      </w:r>
    </w:p>
    <w:p w14:paraId="77375641"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12451">
        <w:rPr>
          <w:rFonts w:ascii="Verdana" w:eastAsia="Times New Roman" w:hAnsi="Verdana" w:cs="Times New Roman"/>
          <w:b/>
          <w:bCs/>
          <w:color w:val="000000"/>
          <w:kern w:val="0"/>
          <w:sz w:val="18"/>
          <w:szCs w:val="18"/>
          <w:lang w:eastAsia="ru-RU"/>
        </w:rPr>
        <w:t>Глава 1. Особенности становления и эволюции государственной власти в период правления Тахиридов и Саффаридов</w:t>
      </w:r>
    </w:p>
    <w:p w14:paraId="20F5003D"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1. Понятие и сущность государственной власти 14</w:t>
      </w:r>
    </w:p>
    <w:p w14:paraId="7216F681"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2. Особенности становления государственной власти при Тахиридах 32</w:t>
      </w:r>
    </w:p>
    <w:p w14:paraId="75FBA49A"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3. Государственная власть и военный режим Саффаридов 50</w:t>
      </w:r>
    </w:p>
    <w:p w14:paraId="51E69DF5"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12451">
        <w:rPr>
          <w:rFonts w:ascii="Verdana" w:eastAsia="Times New Roman" w:hAnsi="Verdana" w:cs="Times New Roman"/>
          <w:b/>
          <w:bCs/>
          <w:color w:val="000000"/>
          <w:kern w:val="0"/>
          <w:sz w:val="18"/>
          <w:szCs w:val="18"/>
          <w:lang w:eastAsia="ru-RU"/>
        </w:rPr>
        <w:t>Глава 2. Усовершенствование и развитие государственно-правовых институтов в период Саманидской державы</w:t>
      </w:r>
    </w:p>
    <w:p w14:paraId="17469D25"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1. Факторы, способствующие развитию государственной власти Саманидов 77</w:t>
      </w:r>
    </w:p>
    <w:p w14:paraId="0B073F74"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2. Особенности государственной власти Саманидов .98</w:t>
      </w:r>
    </w:p>
    <w:p w14:paraId="301A02A8"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12451">
        <w:rPr>
          <w:rFonts w:ascii="Verdana" w:eastAsia="Times New Roman" w:hAnsi="Verdana" w:cs="Times New Roman"/>
          <w:b/>
          <w:bCs/>
          <w:color w:val="000000"/>
          <w:kern w:val="0"/>
          <w:sz w:val="18"/>
          <w:szCs w:val="18"/>
          <w:lang w:eastAsia="ru-RU"/>
        </w:rPr>
        <w:t>Глава 3. Проблема децентрализации и централизации государственной власти в историческом Таджикистане в XI – XIV вв.</w:t>
      </w:r>
    </w:p>
    <w:p w14:paraId="70E4C5BD"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1. Государственно-правовые обычаи и традиции власти и их влияние на государственное управление XI-XIV вв. (на примере постсаманидских государственных образований) 139</w:t>
      </w:r>
    </w:p>
    <w:p w14:paraId="1382D448"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2. Особенности развития государственно-правовых институтов в период Сельджукидского и монгольского государств и проблемы преемственности в государственно-правовом развитии 158</w:t>
      </w:r>
    </w:p>
    <w:p w14:paraId="1D1681EF"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Заключение 182</w:t>
      </w:r>
    </w:p>
    <w:p w14:paraId="03837503" w14:textId="77777777" w:rsidR="00312451" w:rsidRPr="00312451" w:rsidRDefault="00312451" w:rsidP="0031245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2451">
        <w:rPr>
          <w:rFonts w:ascii="Verdana" w:eastAsia="Times New Roman" w:hAnsi="Verdana" w:cs="Times New Roman"/>
          <w:color w:val="000000"/>
          <w:kern w:val="0"/>
          <w:sz w:val="18"/>
          <w:szCs w:val="18"/>
          <w:lang w:eastAsia="ru-RU"/>
        </w:rPr>
        <w:t>Список использованных источников и научной литературы 191</w:t>
      </w:r>
    </w:p>
    <w:p w14:paraId="52CBB173" w14:textId="77777777" w:rsidR="00312451" w:rsidRDefault="00312451" w:rsidP="00312451">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B637772"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Актуальность темы исследования. Более чем двадцатилетнее развитие независимости Республики Таджикистан показало, что формирование национальной государственности немыслимо без обращения к опыту предыдущих эпох, без учета механизмов - регуляторов общественной, политической и экономической жизни общества. История государственности таджиков имеет более чем четырехтысячелетний опыт государственного управления, и поэтому их влияние на совершенствование и развитие институтов и механизмов управления обществом, в том числе реконструкцию государственной власти на территории исторического Таджикистана на протяжении многих столетий оставалось весьма значимым и неоспоримым.</w:t>
      </w:r>
    </w:p>
    <w:p w14:paraId="61EA351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В процессе сложения государственной власти на территории Таджикистана были апробированы важнейшие принципы управления, созданы правовые механизмы регулирования государственно - правовых отношений, была сформирована значительная законодательная база ,сложилась своя практика осуществления государственной власти в некоторые периоды историии Таджикского государства его агрессивно настроенные соседи и дальние государства не раз подчиняли себе территорию таджиков и навязывали им свою политическую власть. Но, несмотря на </w:t>
      </w:r>
      <w:r>
        <w:rPr>
          <w:rFonts w:ascii="Verdana" w:hAnsi="Verdana"/>
          <w:color w:val="000000"/>
          <w:sz w:val="18"/>
          <w:szCs w:val="18"/>
        </w:rPr>
        <w:lastRenderedPageBreak/>
        <w:t>это, государственная власть всё же развивалась согласно древнетаджикским политико-правовым традициям и идеям. И в эти смутные времена абсолютное большинство чиновников государства, в том числе высшие должностные лица - министры, глава духовной власти, чиновники судебной системы, налоговые чиновники, чиновники местной власти, традиционно были таджиками. Еще в ранней древности на Востоке появилось множество дидактических работ, наставлений, где вопросам государственной власти и управления, правилам выбора и назначения чиновников уделялось особое внимание. Гений таджиков в области государственного строительства выразился в учреждении и использовании общего и отраслевого принципов управления. Таджики не только устанавливали, но и реализовывали на практике свои древнейшие и испытанные временем институты государственности, которые перенимались у них иноземными правителями и служили примером для подражания. Таковыми считаются институты первых таджикских государств - Пешдадидов, Каянидов, позднее Саманидского и Гуридского государств. Все выше сказанное свидетельствует о необходимости глубокого анализа сущности и системы государственной власти и управления, ее функций и компетенций, причин взлетов и падений таджикских государств, приведших как к возвышению и консолидации таджикского народа, так и к кризису государственной власти, к формированию национальной государственности таджиков в целом. Истории свойственно повторяться, и с этой точки зрения, использование опыта прошлого может стать залогом процветания общества и государственной власти таджикского народа в настоящем и будущем.</w:t>
      </w:r>
    </w:p>
    <w:p w14:paraId="71049E88"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Представленная работа посвящена истории становления и развития государственной власти таджиков в средние века. Опыт тех далеких времен, думается, может помочь Республики Таджикистан преодолеть современные вызовы и совершенствовать государственное управление.</w:t>
      </w:r>
    </w:p>
    <w:p w14:paraId="5942B10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Изучение проблем эволюции государственной власти именно в IX-XIV вв. дает нам наиболее полное представление о причинах, основных закономерностях возникновения, формах деятельности и тенденциях развития государственности в целостной системе государственно-организованного общества.</w:t>
      </w:r>
    </w:p>
    <w:p w14:paraId="6E8F446B"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Актуальность изучения избранной темы подтверждается также следующими причинами: исследование государственной власти предлагаемого периода еще не было предметом комплексного изучения; данный период является поистине «золотым веком» в истории государственности таджиков, поскольку он определил дальнейшее развитие государственной власти вплоть до начала ХХ в. Именно в этот период были возрождены институты арийско-таджикской государственной власти. Кульминационного развития государственная власть достигла при Саманидах в условиях исламской цивилизации; изучение становления и развития государственной власти - исламской, а также основанной на смешении исламской и традиционной цивилизаций местных и кочевых народов, дает возможность вполне объективно оценить историческое функционирование государственной власти на территории Таджикистана.</w:t>
      </w:r>
    </w:p>
    <w:p w14:paraId="0940B103"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Изучение данного периода актуально еще и потому, что это было время перехода от исламского (по сущности и содержанию) понимания происхождения государства и права (власть от Бога) к обоснованию и легитимации власти с помощью силы.</w:t>
      </w:r>
    </w:p>
    <w:p w14:paraId="11D3888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Исследование этих и других аспектов развития государственной власти и учет богатого опыта прошлых поколений создают объективные предпосылки для совершенствования государственной власти не только в Республике Таджикистан, но и в других государствах региона.</w:t>
      </w:r>
    </w:p>
    <w:p w14:paraId="7B2A2F22"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Степень изученности проблемы. Общие проблемы, связанные со становлением и развитием государства, его типологией, функциями, сущностью, его местом и ролью в обществе ,достаточно хорошо изучены в отечественной и зарубежной литературе. Проблемы власти, в том числе государственной публичной власти, рассматриваются в работах О.В. Войтенко, А.А. Горшколепова, Ф.Р. Сибатова, Н.А. Шевчик, Л.Тихомирова, В.Е.Чиркина, В.А. Ржевского, Н.М. Чепурнова и многих </w:t>
      </w:r>
      <w:r>
        <w:rPr>
          <w:rFonts w:ascii="Verdana" w:hAnsi="Verdana"/>
          <w:color w:val="000000"/>
          <w:sz w:val="18"/>
          <w:szCs w:val="18"/>
        </w:rPr>
        <w:lastRenderedPageBreak/>
        <w:t>других российских ученых. Что же касается вопросов государственной власти в историческом Таджикистане, то они стали предметом правовых и историко-правовых исследований только в последние десятилетия. Это связано с тем, что история государства и права Таджикистана сравнительно недавно - с обретением республикой независимости - стала ведущей научной дисциплиной в вузах страны и темой для анализа в научно-исследовательских центрах Таджикистана.</w:t>
      </w:r>
    </w:p>
    <w:p w14:paraId="1C5F281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Проблемы истории возникновения и эволюции государственной власти с исторической и востоковедческой точек зрения анализировались в работах всемирно известных историков-востоковедов В.В. Бартольда, Б.Г.Гафурова, Р.Маджлисова, А.Меца, Б.Искандарова, М.Н. Сокита, Т.Тухтаметова и др.</w:t>
      </w:r>
    </w:p>
    <w:p w14:paraId="09927E49"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В работах таких таджикских ученых, как Г.С. Азизкулова, И.Б. Буриев, А.М. Диноршоев, Д.М. Зоиров, К.М. Каримов, А.И. Имомов, А.Х. Маликова, Б. Сафаров, И.Д. Сафаров, С.А. Раджабов, Ф.Т. Тахиров, А.Г. Халиков, К.Н. Халиков и других, наряду с изучением актуальных проблем теории и истории государства и права, большое внимание уделяется и различным аспектам проблемы функционирования государственной власти.</w:t>
      </w:r>
    </w:p>
    <w:p w14:paraId="54036E44"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Некоторые аспекты функционирования государственной власти исследуемого периода затрагиваются в учебниках, статьях и научных работах обобщающего характера исторической и историко-правовой направленности.</w:t>
      </w:r>
    </w:p>
    <w:p w14:paraId="22AA05F0"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Теоретическую основу диссертации составили исследования по проблематике развития государственной власти в России, конституционного права, о зарубежном опыте функционирования государственной власти таких авторов, как С.А. Авакьян, Г.В. Атаманчук, Н.В. Варламова, А.В. Васильев, В.Е. Гулиев, Н.Н. Ефремова, И.А. Исаев, Д.А. Керимов, А.И. Косарев, Ю.К. Краснов, Б.М. Лазарев, Л.В. Лазарев, Л.Е. Лаптева, Н.А. Михалева, Р.С.Мулукаев, А.Ф. Ноздрачев, Б.А. Страшун, Ю.П. Титов, М.А. Супатаев, В.А. Туманов, И.А. Умнова, О.И. Чистяков, В.Е. Чиркин, Т.Я. Хабриева, Л.М. Энтин, Б.С. Эбзеев и др.</w:t>
      </w:r>
    </w:p>
    <w:p w14:paraId="6FB29CDB"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Работа основывается также на положениях теории и истории права и государства, разработанных в трудах правоведов С.С. Алексеева, А.Б. Венгерова, В.Г. Графского, Н.М. Коркунова, С.А. Котляревского, В.В. Лазарева, В.С. Мамута, Г.Н. Манова, А.В. Малько, М.Н. Марченко, Г.Н. Муромцева, В.С. Нерсесянца, Л.И. Петражицкого, Л.Р. Сюкияйнена, А.Х. Саидова, Ф.Т. Тахирова, Л.А. Тихомирова, В.Н. Хропанюка, Б.Н. Чичерина, Г.Ф. Шершеневича, таджикских теоретиков и историков права и государства Азизкуловой Г.С., Буриева И.Б., Зоирова Дж.М., Халикова А.Г., Сотиволдиева Р.Ш., Сафарова И.Д., Сафарова Б. А. и др.</w:t>
      </w:r>
    </w:p>
    <w:p w14:paraId="32386124"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Цель и задачи исследования. Целью работы является комплексный анализ генезиса, эволюции и развития государственной власти таджиков в IX-XIV вв.</w:t>
      </w:r>
    </w:p>
    <w:p w14:paraId="37F364FD"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автором были поставлены следующие задачи:</w:t>
      </w:r>
    </w:p>
    <w:p w14:paraId="0F761F9F"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раскрыть сущность и содержание государственной власти;</w:t>
      </w:r>
    </w:p>
    <w:p w14:paraId="41A7C4D8"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-проанализировать процесс функционирования и эволюции государственной власти от Тахиридов до Чингисидов;</w:t>
      </w:r>
    </w:p>
    <w:p w14:paraId="5C376124"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-провести сравнительно-исторический анализ элементов государственной власти в годы правления разных династий исследуемого периода;</w:t>
      </w:r>
    </w:p>
    <w:p w14:paraId="539697A4"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выявить и обобщить практику функционирования государственной власти в мусульманский период её развития;</w:t>
      </w:r>
    </w:p>
    <w:p w14:paraId="53444831"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lastRenderedPageBreak/>
        <w:t>-сделать практические выводы и заключения на основе изучения опыта функционирования государственной власти в историческом Таджикистане.</w:t>
      </w:r>
    </w:p>
    <w:p w14:paraId="7D9262ED"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связанные с организацией государственной власти на территории исторического Таджикистана в IX - XIV вв.</w:t>
      </w:r>
    </w:p>
    <w:p w14:paraId="73EA2A36"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историко-правовые и теоретические аспекты формирования государственной власти в Таджикистане, специфические особенности развития государственной власти в IХ – XIV вв., особенно во время распространения ислама в Таджикистане.</w:t>
      </w:r>
    </w:p>
    <w:p w14:paraId="79624D3A"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Нормативные основы исследования. Эмпирической базой послужили нормативные материалы, в основном исторические и правовые источники мусульманского средневекового периода, опубликованные в разные годы и применявшиеся на территории Таджикистана до начала ХХ в. Наряду с ними были использованы также письменные источники, включающие важные сообщения о правовой жизни и государственной власти, положении отдельных чиновников власти в Арабском халифате, государствах Саманидов, Гуридов, Сельджукидов и Чингисидов.</w:t>
      </w:r>
    </w:p>
    <w:p w14:paraId="4B39B4C3"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В диссертации с учетом цели, предмета и объекта исследования использовались общефилософские методы научного анализа, историко-логический, функциональный, системно-структурный, а также общенаучные принципы научного познания - всесторонность и объективность исследования. Применялись также специальные юридические приемы научного анализа – формально-юридический, сравнительно-правовой, историко-правовой методы, а также цивилизационный подход к анализу и оценке объекта исследования.</w:t>
      </w:r>
    </w:p>
    <w:p w14:paraId="7FD87F11"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Содержащиеся в работе выводы и положения опираются на разработанные в теории и истории права и государства, отраслевых юридических науках, категории, теоретические положения и выводы.</w:t>
      </w:r>
    </w:p>
    <w:p w14:paraId="2F8FB466"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диссертационной работы. Настоящая диссертация является первым комплексным исследованием, посвященным эволюции государственной власти в весьма важный период истории Таджикистана. В ней впервые проведен сравнительно-исторический анализ развития государственной власти в годы правления нескольких царских династий в исламский период развития таджикского общества.</w:t>
      </w:r>
    </w:p>
    <w:p w14:paraId="37088565"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Хронологические рамки исследования охватывают время от начала возникновения государственной власти Тахиридов в IX в. и заканчиваются XIV в.</w:t>
      </w:r>
    </w:p>
    <w:p w14:paraId="5CF25373"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Положения, выносимые на защиту:</w:t>
      </w:r>
    </w:p>
    <w:p w14:paraId="577841D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1. Предлагается авторское определение государственной власти. Государственная власть - это в организационно-правовом отношении единая, суверенная власть в масштабах страны, выполняющая в разных формах и разными методами функцию государственного управления обществом.</w:t>
      </w:r>
    </w:p>
    <w:p w14:paraId="3B838205"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2. В рассматриваемый период произошло изменение в понимании источника государственной власти. Если в раннеисламском государстве источником власти считалась воля Аллаха, то Тахириды, и в особенности Саффариды, источником своей власти считали меч и военную силу.</w:t>
      </w:r>
    </w:p>
    <w:p w14:paraId="3F1FBF46"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3. 1Х-Х1У вв. можно назвать эпохой возрождения институтов арийско-таджикской государственности. Таджики в лице Тахиридов, Саффаридов и особенно Саманидов внесли огромный вклад в развитие государственного управления и государственно-правовых идей и </w:t>
      </w:r>
      <w:r>
        <w:rPr>
          <w:rFonts w:ascii="Verdana" w:hAnsi="Verdana"/>
          <w:color w:val="000000"/>
          <w:sz w:val="18"/>
          <w:szCs w:val="18"/>
        </w:rPr>
        <w:lastRenderedPageBreak/>
        <w:t>практики, которые имели существенное влияние на развитие государственной власти в постсаманидскую эпоху.</w:t>
      </w:r>
    </w:p>
    <w:p w14:paraId="3FF9C8E1"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4. Центральные органы отраслевого управления при Саманидах имели четкие цели, сферы деятельности, которые были подчинены задачам реализации государственной политики.</w:t>
      </w:r>
    </w:p>
    <w:p w14:paraId="6C9C4184"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Саманидами государственная власть использовалось как средство достижения согласия и мира, благосостояния и правопорядка в стране. Реформа государственной власти, формирование отраслевых органов управления проводились с той целью, чтобы назначенные из специалистов отрасли чиновники дивана могли наиболее полно реализовать государственную политику в своей конкретной сфере деятельности. Созданные центральные отраслевые органы управления имели разное правовое положение, которое зависело от рода деятельности, методов и принципов управления.</w:t>
      </w:r>
    </w:p>
    <w:p w14:paraId="418A66BB"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5. Государственная власть работала как слаженная система, состоящая из различных элементов. Кризис некоторых элементов данной системы, в том числе неподготовленность последних эмиров, разлад между везирами и главнокомандующими войсками привели к общему кризису государственной власти, которая не смогла работать в полную силу в чрезвычайных ситуациях. Опустошение казны, плохая собираемость налогов, постоянные междоусобицы, стремление к самостоятельному управлению стали важнейшими причинами распада государственности Саманидов.</w:t>
      </w:r>
    </w:p>
    <w:p w14:paraId="7593DE7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6. Тождественность форм правления и государственных институтов исследуемого периода свидетельствует о преемственности опыта государственной власти и развитии форм правления.</w:t>
      </w:r>
    </w:p>
    <w:p w14:paraId="44CB30F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Распад или идея полного развала (теория стагнации) государственной власти на территории исторического Таджикистана не совсем совпадают с реалиями и эволюцией государственной власти постсаманидского периода. Механизм функционирования государственной власти, эволюция государственно - правовых институтов показали, что их деятельность и выполняемые функции при Сельджукидах и других династиях были те же, что и при Саманидах.</w:t>
      </w:r>
    </w:p>
    <w:p w14:paraId="422309CA"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7. Практика деятельности и анализ властных отношений в государственных образованиях XI-XIV вв. на территории Таджикистана показывают, что:</w:t>
      </w:r>
    </w:p>
    <w:p w14:paraId="553B66D8"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в послесаманидской государственной власти пришлых династий о себе дали знать особенности смешения обычно-традиционных институтов и понимания общественной власти, и саманидские государственно-правовые институты, которые выражались в таких идеях, как "власть принадлежит целому роду", в удельной системе управления, в неразвитости высшей власти, в признании опорой власти только войск;</w:t>
      </w:r>
    </w:p>
    <w:p w14:paraId="62E54BDA"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децентрализация власти, раздача земель в икта (условное землевладение) сыграли негативную роль в истории постсаманидских государств, разорили земледельцев-дихкан и расшатали устои государственности;</w:t>
      </w:r>
    </w:p>
    <w:p w14:paraId="119BCCC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-начавшаяся в эпоху Саманидов борьба за влияние между людьми пера (светскими и религиозными чиновниками) и меча (военными) отчасти способствовала благу народа и власти, но в основном имела разрушительный характер;</w:t>
      </w:r>
    </w:p>
    <w:p w14:paraId="210CAFD0"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институт контракта при назначении своих везиров Газневидами и создание Государственного совета Хорезмшахами являются показателями возникновения демократических институтов в историко-правовом развитии Таджикистана исследуемой эпохи.</w:t>
      </w:r>
    </w:p>
    <w:p w14:paraId="7EC18225"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8. Особенностью политического режима в постсаманидских государствах было то, что </w:t>
      </w:r>
      <w:r>
        <w:rPr>
          <w:rFonts w:ascii="Verdana" w:hAnsi="Verdana"/>
          <w:color w:val="000000"/>
          <w:sz w:val="18"/>
          <w:szCs w:val="18"/>
        </w:rPr>
        <w:lastRenderedPageBreak/>
        <w:t>государственная гражданская власть в них имела подчиненное значение по сравнению с военной властью, что разительно отличается от предшествовавшей эпохи.</w:t>
      </w:r>
    </w:p>
    <w:p w14:paraId="60AABF7F"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Таким образом, история государственной власти досоветского Таджикистана в IX - XIV вв. то история становления и развития новых ее форм - исламской и смешанной с идеями и обычно-правовыми традициями государственности тюрко-монгольских племён. Данные государства смогли создать и развивать государственную власть, наиболее адаптированную к требованиям их правителей. Отличительные особенности каждого из них свидетельствуют о вкладе каждой династии в дело укрепления государственной власти и развития государственно-правовых идей, теории и практики.</w:t>
      </w:r>
    </w:p>
    <w:p w14:paraId="1181674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Работа восполняет значительный пробел в таком важном научном и практическом вопросе, как эволюция принципов функционирования государственной власти в историческом Таджикистане в IX-XIV вв.</w:t>
      </w:r>
    </w:p>
    <w:p w14:paraId="2C648143"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Результаты работы могут быть использованы при дальнейших научных исследованиях, а также при написании учебников, пособий, спецкурсов по истории государства и права и государственной власти в Республике Таджикистан и сопредельных странах региона.</w:t>
      </w:r>
    </w:p>
    <w:p w14:paraId="26BFB917"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Апробация результатов исследования. Работа была обсуждена на совместном заседании кафедры теории и истории государства и права и кафедры прав человека и сравнительного правоведения юридического факультета Таджикского национального университета и рекомендовано к защите (протоколом № 8 от 07 апреля 2014 г.)</w:t>
      </w:r>
    </w:p>
    <w:p w14:paraId="242C615A"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Диссертация прошла апробацию также в ходе выступлений автора на специальных теоретико-методических семинарах, проведенных данными кафедрами, на международных и республиканских конференциях, организованных ТНУ, научных конференциях молодых ученых Республики Таджикистан (2008 - 2014 гг.) и других научных мероприятиях, а также при чтении лекций и проведении семинаров по учебным дисциплинам «Теория государства и права», «История государства и права Таджикистана», «История государства и права зарубежных стран», «История политических и правовых учений», «История прав человека», «Мусульманское право» и т.д.</w:t>
      </w:r>
    </w:p>
    <w:p w14:paraId="559F83CC"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Структура диссертации. Объем и структура работы обусловлены ее целью и задачами, логикой их раскрытия. Диссертация состоит из введения, трёх глав, включающих семь параграфов, заключения и списка использованных источников и научной литературы.</w:t>
      </w:r>
    </w:p>
    <w:p w14:paraId="63901B99" w14:textId="77777777" w:rsidR="00312451" w:rsidRDefault="00312451" w:rsidP="0031245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становления государственной власти при Тахиридах</w:t>
      </w:r>
    </w:p>
    <w:p w14:paraId="2A7FAB67"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Начиная с прихода Аббасидов к власти, роль и значение таджиков и иранцев в установлении и разрешении политических проблем возрастают. Это становится важнейшим в теории и эволюции практики функционирования и деятельности государственной власти. Следует отметить роль великих везиров Аббасидов - династии Бармакидов, благодаря которым дела управления заметно улучшились. Бармакиды происходили из древнего города Балх, где их предки ведали буддийским храмом Навбахар, обладавшим огромным недвижимым имуществом. После разрушения Балха во время арабского завоевания Бармакиды приняли ислам и активно участвовали в восстановлении своего города, вследствие чего представители их дома были выдвинуты на высокие посты центрального правительства Арабского халифата и управление наместничеством Хорасана. При них были созданы институты государственной власти и управления, которые привели к интеграции всех провинций и налаживанию культурных, экономических и других связей внутри Халифата. Но, несмотря на их заслуги перед государством, все представители семейства Бармакидов были убиты халифом Харун-ар-Рашидом (29 января 803 г.), как наиболее опасные противники халифа. После отстранения Бармакидов от власти, растет бремя налогов, что привело к возникновению народных движений. Эти и другие причины, которые свидетельствуют о кризисе власти в Халифате, от халифа </w:t>
      </w:r>
      <w:r>
        <w:rPr>
          <w:rFonts w:ascii="Verdana" w:hAnsi="Verdana"/>
          <w:color w:val="000000"/>
          <w:sz w:val="18"/>
          <w:szCs w:val="18"/>
        </w:rPr>
        <w:lastRenderedPageBreak/>
        <w:t xml:space="preserve">настоятельно требовали поиска путей восстановления и укрепления государственной власти. Как свидетельствует история Халифата, было использован способ сближения с местным населением, а также привлечения местной аристократии, имеющий огромный управленческий опыт, перешедшей на сторону арабов, в том числе в историческом Таджикистане, и допущенной к занятию должностей центральной власти на местах и к управлению армией. Признавая за местной аристократией право на участие в управлении государством, тем самым Аббасиды вынужденно предоставляли известную автономию восточным областям Халифата. Это вынужденная мера должна была способствовать привлечению представителей местной аристократии к государственным делам, посредством чего арабы стремились парализовать тягу местной аристократии к независимости и иметь возможность при случае опереться на них в борьбе с народными выступлениями . Такой курс в политике был начат уже давно, а позже поддерживался и преемниками Аббасидов. Аббасиды хотели парализовать таким путем стремление таджикского народа к независимости. Но удержать процесс постепенного усиления местной аристократии халифы уже не могли, потому что, имея огромный опыт управления, эти династии также заявляли о поддержке ислама, тем самым укрепляя под собой социальную почву и поддержку духовенства. После разгрома династии Бармакидов на политическую арену выходят представители другой таджикской династии - Тахириды. Период правления Тахиридов является начальной стадией освобождения от власти Халифата, на минимальное время (юридически – всего на один день, а фактически - почти на всё время правления представителей династии) изменившей статус Хорасанского наместничества. Важнейшим шагом Тахиридов на пути установления самостоятельной государственной власти на территории Хорасана являлся переход к делопроизводству на родном языке, что подготавливало население к более решительным изменениям, к принятию более действенных мер, давало свободу в действиях в обстановке общения на родном языке. Данное событие было поддержано и развито последующими династиями таджикских правителей - Саффаридами и позже Саманидами - как важный фактор в эволюции идей самостоятельной государственности. Ими таджикский язык был принят в качестве государственного языка. Не идеализируя отдельных представителей таджикских династий от Тахиридов и до Саманидов, а также деятельность местной феодальной аристократии в эту эпоху, следует отметить, что их деятельность сыграла важную роль в оживлении, возрождении и дальнейшей эволюции и рецепции местных государственно-правовых традиций. Это свидетельствует в свою очередь о том, что тенденция возрождения и развития местной древнетаджикской государственной и правовой культуры была настолько значительной, что она включила даже верхушку тогдашнего господствующего класса в это общенародное течение. Исследование вопросов возникновения, развития и особенностей государственной власти при правлении Тахиридской династии является интересной научной и практической проблемой, так как Тахириды – это первая таджикская династия, которая в зените могущества Арабского халифата не признала ее и объявила о своей самостоятельности. Тахириды стали наместниками Хорасана в 821 году. Историки генеалогию Тахира ибн Хусейна связывают с Сасанидами и легендарным Рустамом. При распространении власти Халифата, предки Тахира стали клиентами (маула) правившего Сиистаном в конце VII в. арабского племени аль-Хузаъи. Дед Тахира, Мусъаб ибн Рузайк (в некоторых источниках - Зурайк, Разик, Заррик), был хорасанец и играл важную роль в борьбе Аббасидов с Омейядами в 747-750 гг. возглавляемой Абумуслимом. Рузайк - дед Тахира состоял на службе у правителя Сиистана аль-Хузаъи; тогда наместником Хорасана являлся Сальм ибн Зияд. Рузайк, считавшийся потомком богатыря Рустама, принял ислам. По некоторым источникам, Мусъаб, Хусейн, Тахир владели городом Бушенгом в области Герата. Род Тахиридов был самым могущественным в Хорасане, и его представители принимали активное участие в подавлении восстаний, особенно во время восстания Рафи ибн Лайса в 806-810 гг. По сообщению источников, в 806 г. вспыхнуло крупное восстание под руководством Рафи ибн Лайса и наместник Самарканда был убит, а город некоторое время оставался в руках восставших. В восстании принимало активное участие оседлое население Ферганы, Ходжента, Бухары, Уструшаны, Хорезма, Чаганияна и Хуталляна. На помощь к ним пришли кочевники-тюрки. Это восстание было подавлено лишь в 810 г., когда Рафи ибн Лайс в критический </w:t>
      </w:r>
      <w:r>
        <w:rPr>
          <w:rFonts w:ascii="Verdana" w:hAnsi="Verdana"/>
          <w:color w:val="000000"/>
          <w:sz w:val="18"/>
          <w:szCs w:val="18"/>
        </w:rPr>
        <w:lastRenderedPageBreak/>
        <w:t>момент изменил восставшим. В последующие годы и в других городах вспыхивали новые восстания. Данные восстания свидетельствовали о том, что наместники уже не могут удержать эти территории (исторического Таджикистана) только одной силой оружия. Стремительное возвышение Тахира началось после смерти Харун-ар-Рашида (786-809 гг.), когда разгорелась борьба за власть между его сыновьями - братьями. Тахир назначается командующим войсками хорасанского наместника, что еще больше укрепило его могущество. Руководить хорасанскими воинами было и почетно, и трудно, так как они являлись самыми боеспособными в составе войск Арабского халифата.</w:t>
      </w:r>
    </w:p>
    <w:p w14:paraId="7EDF5AB1" w14:textId="77777777" w:rsidR="00312451" w:rsidRDefault="00312451" w:rsidP="0031245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Государственная власть и военный режим Саффаридов</w:t>
      </w:r>
    </w:p>
    <w:p w14:paraId="59A7350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Приход к власти Саффаридов имеет свою предысторию, которая вытекает из той политической обстановки, которая существовала в первые века распространения ислама, Арабского Халифата, и места народных ополчений в ней. Эти ополчения стали необходимым элементом Аббасидского Халифата вследствие объединения огромных территорий, которых необходимо было защищать от внешнего врага, коим в Центральной Азии являлись кочевые племена и народы. Аббасидские халифы не только удержали территорию Халифата Омейядов, но и расширили её, добавляя новые территории. При них территория Халифата простиралась от Центральной Азии до Ближнего Востока, от Аравии до Северной Африки и до Испании в Западной Европе. Власть Арабского халифата углублялась и расширялась в VII - Х вв. Понятно, что даже самая передовая армия того времени не могла эффективно защитить столь большую территорию, для удержания которой не хватало ни сил, ни средств, вследствие чего наблюдались нападения кочевых племен на земледельческие районы. Кочевые племена время от времени начинали военные походы против земледельческих оазисов, как для приобретения новых земель, так и для приобретения богатства, грабежа местного, в основном земледельческого, мусульманского населения. Поэтому важной функцией государственной власти в земледельческих оазисах Центральной Азии оставалась, как и в предшествовавшую эпоху, организация защиты от набегов кочевников. С этой целью в описываемый период создавались специальные отряды вооруженных добровольцев, которых поддерживали и Тахириды. Их называли мутавватиа (добровольные), газиями - борцами за веру. В их ряды вступали большей частью земледельцы и ремесленники. Эти люди, избравшие своей профессией войну, посылались туда, где происходили стычки с "неверными", в основном кочевниками. Местные правители использовали отряды газиев на службе в укреплениях на границе земледельческих оазисов с кочевой степью. То есть государство использовало не только постоянную военную силу – армию, но и добровольческие отряды для охраны внешних границ от посягательства кочующих соседних племен. Данные ополчения в истории исламской цивилизации и государственнос не только сыграли положительную роль в укреплении существующего государственного строя и религии, но иногда и сами выступали против существующей власти, или становились в ряды народных движений, становясь активными членами таких движений, так как обладали не только оружием, но и навыками ведения войны, в том числе партизанской. Дан-ную оценку и существование такого положения подтверждает арабский географ Мак-диси. По его отзыву, газии составляли "опору и то же время предмет беспокойства" для местных властей: с одной стороны, они давали отпор набегам кочевников и охраняли земледельческие оазисы от нападения врагов, с другой стороны, они часто являлись активными участниками народных движений против местной знати. Саффариды, борясь за самостоятельную государственность, угрожали существованию даже Арабского халифата, по существу выполняя его задачи по защите и охране границ мусульманского государства.</w:t>
      </w:r>
    </w:p>
    <w:p w14:paraId="7EAB448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Из отрядов тех самых газиев и возникает следующая за Тахиридами династия Саффаридов , правившая Хорасаном с 873 г. по 899 гг. (по некоторым источникам - с 858 по 911 гг.). Добровольческих отрядов было много особенно в Хорасане и Мавераннахре. Здесь функционировали несколько групп добровольцев - ал-мутатаввиа, газии; другую группу отрядов называли айяры - чавонмардон , следующая, фатиён, - защитники слабых и обездоленных, особенно выделявшиеся своей честностью и смелостью среди других групп. Об их честности и храбрости сообщает автор "Кабуснаме" Унсурулмаоли Кайковус: - основой чавонмарди являются три вещи: </w:t>
      </w:r>
      <w:r>
        <w:rPr>
          <w:rFonts w:ascii="Verdana" w:hAnsi="Verdana"/>
          <w:color w:val="000000"/>
          <w:sz w:val="18"/>
          <w:szCs w:val="18"/>
        </w:rPr>
        <w:lastRenderedPageBreak/>
        <w:t>"первое - что говоришь, то и делай, второе - не поступай против правды, третье - будь терпелив … Знай, что благородный айяр - тот, у которого несколько добродетелей: то, что он смел и мужествен, терпелив во всяком деле, держит обещания, целомудрен, чистосердечен, никому не причиняет вреда, допускает вред себе ради выгоды друзей своих, на пленников не посягает, нищих одаряет, злых удерживает от злых дел, говорит правду, правдивое слушает, за добро злом не оплачивает, ведет добрые речи, в беде видит благо". В эти отряды входили беднейшие слои общества, разорённые землевладельцы, ремесленники, свободные крестьяне, молодые люди, дервиши и др. Из их среды назначали руководителя, и от руководителя требовалось, чтобы он был самым щедрым, честным и верным товарищем. Этой характеристики строго придерживались все члены группы, таковым был, например, по сообщению источников, сам Якуб ибн Лайс - один из тех, кто выдвинулся из среды айяров. Айяры объединялись под руководством старших наставников и военных руководителей. Данные отряды создали такую военную организацию, деятельность которой охватывала не только вопросы безопасности, но и многие другие политико-правовые, экономические, судебные проблемы правопорядка и управления в Хорасане. Они состояли на службе у местных феодалов и владетелей. Айяры активно принимали участие в народных движениях, создавали отдельные отряды и по приказу своих главарей боролись против официальных властей и феодальной знати, и этим снискали уважение со стороны простого народа. Сообщается, что некоторые группы айяров занимались разбоем на дорогах и грабежом мирных жителей. Эти отряды могли быть созданы последователями разных направлений ислама, например, хариджитами, которые были наиболее энергичной и беспокойной частью населения Сиистана. Они традиционно обладали военными способностями, поражает их готовность сражаться до смерти за свои убеждения. Хариджиты контролировали большую часть сельской местности Сиистана. Сборным пунктом "борцов за веру", в том числе отрядов Якуба, для которых было построено до 1700 рабатов, по данным Мукаддаси являлся город Исфиджаб, относящийся к Мавераннахру и завоеванный Нухом ибн Асадом в 840 г. Здесь были рабаты бухарцев, самаркандцев и других. Интересна биография основателя династии: Якуб ибн Лайс был родом из села Карнина в области Сиистан, расположенного на расстоянии одного перехода от столицы Зарандж. Якуб ибн Лайс в молодости был учеником медника в Зарандже, с месячным доходом в 15 дирхемов, что было явно недостаточно для поддержания семьи. Он отличался среди своих товарищей щедростью и веселым характером. Вместе со своим дядей образовал свой отряд, с которым присоединился к отряду газиев, которым руководил Салех ибн Наср, сражавшийся с 835 г. против сиистанских хариджитов. Это тот человек, который в 851 - 852 гг. восстал против Тахиридов в Сиистане и овладел им. Салех принял Якуба и Амра ибн Лайсов в свою армию, назначил сархангами (командир, военный руководитель) и использовал их силу против своих врагов. Объединённые группы сиистанских айяров при благоприятных обстоятельствах серьезно могли угрожать тахиридским властям. Вскоре под руководством Салеха ибн Насра отряд добровольцев при поддержке крестьян из Буста изгнал тахиридского наместника и Салех одержал победу благодаря тысячному отряду айяров, руководимому Якубом Лайсом - будущим основателем династии Саффаридов, который был назначен сархангом Буста. Но в одном из сражений Якуб Лайс не поладил из-за имущества с Салехом и ушёл от него. Скорее всего, в 858 году Якуб ибн Лайс стал одним из высших чиновников при правителе Сиистана, а в 861 г. он стал правителем Сиистана , после чего эта провин-ция стала центром обширной, но недолговечной державы, которая охватывала почти весь Иран, за исключением его северо-западной части. Руководство добровольцами и айарами Сиистана одновременно укрепило власть Саффаридов, которые не только занялись защитой территорий мусульман от набегов, но и, проводя самостоятельную государственную политику, решали каждодневные вопросы управления обществом, набирались управленческого опыта.</w:t>
      </w:r>
    </w:p>
    <w:p w14:paraId="0B720010" w14:textId="77777777" w:rsidR="00312451" w:rsidRDefault="00312451" w:rsidP="0031245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государственной власти Саманидов</w:t>
      </w:r>
    </w:p>
    <w:p w14:paraId="2F791EAF"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Исследуя государственную власть Саманидов, мы в основном имеем в виду тех должностных лиц и органы, которые олицетворяли её. Это эмир, Главный Хаджиб и Главный везир (Ходжаи </w:t>
      </w:r>
      <w:r>
        <w:rPr>
          <w:rFonts w:ascii="Verdana" w:hAnsi="Verdana"/>
          <w:color w:val="000000"/>
          <w:sz w:val="18"/>
          <w:szCs w:val="18"/>
        </w:rPr>
        <w:lastRenderedPageBreak/>
        <w:t>Бузург). Носителем государственной власти, прежде всего, являлся эмир Саманидов, который перепоручал управление, то есть реализацию разных функций государства, различным должностным лицам и органам, занимающимся вопросами контроля и управления обществом. Таковыми являлись как чиновники и диваны, непосредственно подчиняющиеся эмиру (шайх ул-ислам - глава духовенства, надимы, диван сахиб-барид и др.), центральные органы управления Даргах с его чиновниками, Диван Везира с подчиненными ему диванами, местные органы власти, главы подчиненных территорий государства. Глава государства, согласно установившейся практике Халифата, считался одновременно высшим духовным повелителем мусульман. Некоторые положения Корана также могут быть интерпретированы в этом русле, что могло быть обойдено правителями Саманидского государства, и поэтому формально глава Саманидской монархии именовался эмиром - повелителем, наместником халифа. Однако почти все современники Саманидов именуют их эмир аль-мумининами, повелителями правоверных, что фактически означало главу мусульманского теократического государства, формально ответственного только перед богом. Почти во всех произведениях историков мусульманского Востока главы государства Саманидов титулуются эмир аль-мумининами (например, Ауфи), халифами (например, Мухаммад Наршахи) и нередко встречается, когда их называют шахами или падишахами-царями. Саъолиби Саманидов титулует Эмирами Востока и маликами, Масъуди - хозяином Хорасана, Наршахи - султаном. Так, Мирхонд в своем "Равзат-ус-сафо" называет падишахами не только Исмаила Саманида, но и всех остальных его семь поколений, которые последовательно являлись главами государства Саманидов. В своем "Сиёсат-наме" Низам-ал-Мульк даже одного из представителей этой династии (Нуха II) титулует шахиншахом - царем царей. Авторы "Кандия-малая" (Ан-Насафи) и "Самария" (Абу Тахир Ходжа) Саманидов называют султанами. Так, они пишут: "Передают, что султан Исмаил Саманид собрался посмотреть свой сад" и т.д. Мусульманское духовенство, на которое в своей государственной деятельности опирались Саманиды в целях создания им морального авторитета и популяризации их среди подданных, отнесло отдельных представителей этой династии к числу шейхов и пиров (духовных наставников и предводителей), хотя никто из Саманидов не вел той жизни, как это полагалось бы духовным подвижникам. Глава Саманидского государства, являясь высшим должностным лицом в государстве, в то же время осуществлял верховную судебную власть. Формально в своей деятельности глава Саманидского государства был абсолютным монархом, и ни перед кем не отчитывался. Коран устанавливает обязанности главы государства, которые глава Саманидского государства полностью относил и к себе: а) охрану религии, б) осуществление правосудия, в) беспрестанное ведение войн за веру, г) взимание налогов, д) управление страной. Для выполнения своих обязанностей эмир вправе принимать решения и приказы. Фармон (повеление, приказ) главы Саманидского государства - эмира являлся высшим актом государственной власти, подлежащим обязательному исполнению всеми должностными лицами государства и подданными. "Если окажется, что кто-либо поглядит пренебрежительно на приказ (государя), или замедлит в ревности к служению и повиновению, пусть назначит суровое наказание, даже будь он из близких. В этом состоит разница между писанием государя и других лиц», - писал Низам-ал-Мульк. Следует подчеркнуть, что, несмотря на то, что ислам и шариат освящали власть главы мусульманского теократического государства, передовые мыслители Саманидской державы восстание и насильственное низвержение несправедливого эмира считали правомерным явлением и актом справедливости. На этой позиции стояли такие гениальные мыслители исследуемой эпохи как Рудаки, Фирдоуси, Абуали ибн Сино (Авиценна) и др. Эта концепция стала традиционной доктриной для всех последующих поколений представителей общественно-политической мысли досоветского Таджикистана. Если Саманиды, будучи эмирами государства, сосредотачивали в своих руках всю полноту государственной власти, то функции управления делили между двумя важнейшими структурными частями государственного аппарата: даргахом (канцелярией) и диванами (отраслевыми органами управления).</w:t>
      </w:r>
    </w:p>
    <w:p w14:paraId="549AF43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Саманиды продуманно разделили органы государственной власти и управления, которые олицетворяли диваны - отраслевые органы управления. С.В. Юшков, отмечая административный </w:t>
      </w:r>
      <w:r>
        <w:rPr>
          <w:rFonts w:ascii="Verdana" w:hAnsi="Verdana"/>
          <w:color w:val="000000"/>
          <w:sz w:val="18"/>
          <w:szCs w:val="18"/>
        </w:rPr>
        <w:lastRenderedPageBreak/>
        <w:t>характер этого деления, объясняет причины столь большой разветвленности государственного аппарата Саманидов только тем, что "приходилось выполнять весьма многочисленные функции, в частности, заботиться о прорытии каналов, о постройке мостов, о возведении укреплений и основании новых городов и т. д., но данное объяснение лишь отчасти отражает суть явления. Дело в том, что эти потребности существовали и до Саманидов, и после них. Но такое структурирование, правильное распределение ответственности и разделение сфер деятельности мы наблюдаем только при Саманидах и в последующей истории досоветского Таджикистана. Это говорит о гении представителей Саманидской династии, и что они были политиками-государственниками, которые удачно сочетали традиции своего народа, Халифата, а кое в чем и ввели новизну при разработке и установлении институтов государственного управления. Централизация государственной власти Саманидам была нужна, прежде всего, для установления правопорядка, упрочения налоговой системы государства, облегчения сбора налога с крестьян за пользование хараджевыми землями, который был учрежден еще до Саманидов, а Саманидами не только не был отменен, но наоборот укреплен. Во-вторых, централизация государственной власти была нужна как для подавления антифеодальных движений народов, населявших территорию государства Саманидов, так и для своевременного выявления и предупреждения сепаратистских тенденций центробежных сил государства в лице правителей отдельных областей страны и феодалов, и, наконец, централизация государственной власти была нужна, как для расширения территории государства, так и для защиты земледельческих оазисов Мавераннахра от нашествия кочевых племен, населявших север и северо-восток страны.</w:t>
      </w:r>
    </w:p>
    <w:p w14:paraId="5798D21A" w14:textId="77777777" w:rsidR="00312451" w:rsidRDefault="00312451" w:rsidP="0031245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развития государственно-правовых институтов в период Сельджукидского и монгольского государств и проблемы преемственности в государственно-правовом развитии</w:t>
      </w:r>
    </w:p>
    <w:p w14:paraId="1CC118A6"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Государственно-правовое развитие Центральной Азии получает новый импульс с приходом к власти племен огузов, создавших одно из наиболее значительных государственных образований не только в истории Центральной Азии, но и всего Востока, которые за расширение своих границ вели борьбу, как с Византией, так и с крестоносцами, и другими государствами Ближнего Востока. Государственность у Сельджуков возникает иным путем, нежели у Караханидов, Газневидов и Гуридов. История возникновения государства Сельджуков, во главе которого стояли братья Тогрулбек и Чагрыбек Давуд, внуки Сельджука из туркменского рода кынык, началась с того момента, когда газневидский султан Масуд разрешил им поселиться в своих владениях на территории Хорасана - нынешней Туркмении - в 1035 году. Согласно договору они могли поселиться на территории Абиверда, Серахса, Нисы и Мерва взамен несения военной службы у султана. Переселяясь на территорию Хорасана, эти племена никогда не были законопослушными, вели кочевой образ жизни, занимались грабежом оседлой части населения. Кроме того, требования дать им новые земли становились настойчивыми, что стало причиной начала войны Масуда с ними. Война Сельджуков с Газневидами шла с переменным успехом с 1035 по 1038 гг., а в 1040 г. в битве при Мервском Дандонакане они окончательно одержали победу над Газневидами. Разгром Газневидов стал основой для укрепления государственности и начала завоевательных войн представителями новой династии. Между 1040-1055 годами Сельджуки завоевали территорию Ирана. Двигаясь на запад, Сельджуки захватили Ирак, Азербайджан и Армению, дойдя в 1055 году до центра Аббасидского халифата г. Багдад, состоящего под патронатом буидов, шиитских правителей, также выходцев из Хорасана. Сельджуки стали новыми патронами Халифата и заставили Каима - Аббасидского халифа дать Тогрулу титул султана. Признание халифом султаната означало, что отныне власть делится на светскую и религиозную, представителем религии является халиф, и он довольствуется религиозной властью, а также инвеститурой, назначением, легитимацией притязаний претендентов на управление, а султан является главой государства, управляющим обществом.</w:t>
      </w:r>
    </w:p>
    <w:p w14:paraId="36DB4CAE"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Таким образом, образовалась держава Сельджуков, а её первый глава Тогрулбек правил </w:t>
      </w:r>
      <w:r>
        <w:rPr>
          <w:rFonts w:ascii="Verdana" w:hAnsi="Verdana"/>
          <w:color w:val="000000"/>
          <w:sz w:val="18"/>
          <w:szCs w:val="18"/>
        </w:rPr>
        <w:lastRenderedPageBreak/>
        <w:t>Сельджукским государством в 1038-1063 гг., продолжал завоевательные походы и захватил большую часть земель, принадлежавших Арабскому халифату. Несмотря на завоевание одной из важнейших культурных частей земного шара того времени, государственная власть Сельджукидов не потеряла кочевой образ жизни, о чем свидетельствует хотя бы проблема назначения столицы государства. Во многих источниках столицей государства Сельджуков называют город Рей. Но сельджуки были кочевниками, в первое время постоянно меняли свое местопребывание и столицу государства, которой служили Нишапур, Рей (Рай), Исфахан, Хамадан и Багдад. Они могли переходить из одного города в другой, как при ведении войн, чтобы центр был к ним ближе, так и в мирное время, причем вся канцелярия, вместе с диванами, переходила из одного места в другое место. Первыми представителями этой династии были Давуд, Тогрулбек и Мухаммад Чагрибек , а кульминационное развитие государственности сельджуков приходится на время правления Алп-Арслана, Султан Маликшаха (1072-1092гг.), везиром которых служил Абуали ал-Хасан ат-Туси, известный в истории как великий везир и автор не менее известной книги "Сиёсат-наме" или "Сайр ул-мулук" - Низам-ал-Мульк. Сельджуки вели успешные войны с Византией, у которой отняли всю Малую Азию в 1071. Балх и Термез были возвращены при Маликшахе (1072-1092гг.). В борьбе с Караханидами в 1044 г. сельджуки завоевали Хорезм, а в 1089 г. - весь Мавераннахр, таким образом, оставив Караханидов своими вассалами, облагая их данью. В 1089 г. Маликшах взял Бухару и Самарканд. В эти годы на территории Сельджукского государства установились мир и тишина. Маликшах старался завоевать запад, а с Караханидами установить добрососедские отношения, поэтому между ними был заключен мир, согласно которому границы Сельджукского государства простирались от Амударьи до Средиземного моря. Отметим, что данная династия, обладая многочисленной военной силой и большими средствами, стала не только объединителем всей территории Саманидского государства, она расширила их и даже присоединила, и принудила Аббасидского халифа к признанию их султанами. При Алп-Арслане (1063-1072гг.) сельджуки завоевали Хутталон и Чаганиан, Дженд, Савран. Алп-Арслан победил Византийского императора Диогена IV в Малой Азии, став причиной начала крестовых походов всей Европы на Восток. Византия призвала на помощь римского папу и другие христианские государства. Это стало началом крестовых походов "за освобождение Гроба Господня". Алп-Арслан вел строгий контроль над войском и теми людьми, которые обслуживали войско на завоеванных территориях; освободил от хараджа население, давал помощь - садака бедным один раз в год (в месяц поста - рамазан); давал государственные земли в условное владение - икта военным. Но после смерти Маликшаха началась смута и продолжалась она до 1118 г., когда к власти пришел великий султан Санджар (1118-1157гг.). В 1130 г. Караханид Арсланхан призвал Санджара на помощь, когда его сына и соправителя убили заговорщики. Санджар, используя это, завоевал Мавераннахр и подчинил Караханидов своей власти. Государство Сельджуков Центральной Азии после смерти султана Санджара (1118-1157) распалось на ряд мелких владений, на месте которого возвысился Хорезм, начиная с 1194 и до 1215 завоевавший Западный Иран, Мавераннахр, а также весь Афганистан. После Султана Санджара, созданное ими государство если на территории Центральной Азии завоевывается Хорезмшахами, то европейская часть государства сохраняется за Сельджуками. Сельджуки угрожали Византии, Египту и государствам, созданным крестоносцами.</w:t>
      </w:r>
    </w:p>
    <w:p w14:paraId="161987C7" w14:textId="77777777" w:rsidR="00312451" w:rsidRDefault="00312451" w:rsidP="00312451">
      <w:pPr>
        <w:pStyle w:val="WW8Num1z2"/>
        <w:shd w:val="clear" w:color="auto" w:fill="FFFFFF"/>
        <w:rPr>
          <w:rFonts w:ascii="Verdana" w:hAnsi="Verdana"/>
          <w:color w:val="000000"/>
          <w:sz w:val="18"/>
          <w:szCs w:val="18"/>
        </w:rPr>
      </w:pPr>
      <w:r>
        <w:rPr>
          <w:rFonts w:ascii="Verdana" w:hAnsi="Verdana"/>
          <w:color w:val="000000"/>
          <w:sz w:val="18"/>
          <w:szCs w:val="18"/>
        </w:rPr>
        <w:t xml:space="preserve">Сельджуки создали государство со своими отличительными особенностями. Высшая власть в государстве принадлежала монарху - султану Сельджукиду. Сельджукское государство было наследственной монархией. Сельджуки благодаря своему просвещенному везиру Низам-ал-Мульку возродили и установили многие институты, прошедшие испытание временем. Государством управлял Султан. Интересно, что прежде огузские ябгу – правители, в разных огузских государственных образованиях, передавали свою власть по наследству, хотя считались избранными на царство, а в Малой Азии сельджуки установили совет знати – кенгаш, который состоял из представителей самых известных семей огузских племен. Кенгаш был консультативным советом, решение которой были обязательны для главы государства в первое время прихода к власти сельджуков. Симбиоз политико-правовых традиций и обычного права отмечается исследователями </w:t>
      </w:r>
      <w:r>
        <w:rPr>
          <w:rFonts w:ascii="Verdana" w:hAnsi="Verdana"/>
          <w:color w:val="000000"/>
          <w:sz w:val="18"/>
          <w:szCs w:val="18"/>
        </w:rPr>
        <w:lastRenderedPageBreak/>
        <w:t>в вопросе об этом институте власти. Выборы огузских верховных правителей являлись трансформированным пережитком народных собраний эпохи военной демократии, - пишет С.Г. Агаджанов</w:t>
      </w:r>
    </w:p>
    <w:p w14:paraId="1DE63D81" w14:textId="77777777" w:rsidR="00312451" w:rsidRPr="00312451" w:rsidRDefault="00312451" w:rsidP="00312451"/>
    <w:sectPr w:rsidR="00312451" w:rsidRPr="0031245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4F18F" w14:textId="77777777" w:rsidR="000B2AC8" w:rsidRDefault="000B2AC8">
      <w:pPr>
        <w:spacing w:after="0" w:line="240" w:lineRule="auto"/>
      </w:pPr>
      <w:r>
        <w:separator/>
      </w:r>
    </w:p>
  </w:endnote>
  <w:endnote w:type="continuationSeparator" w:id="0">
    <w:p w14:paraId="35A12B8E" w14:textId="77777777" w:rsidR="000B2AC8" w:rsidRDefault="000B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6AB1C" w14:textId="77777777" w:rsidR="000B2AC8" w:rsidRDefault="000B2AC8">
      <w:pPr>
        <w:spacing w:after="0" w:line="240" w:lineRule="auto"/>
      </w:pPr>
      <w:r>
        <w:separator/>
      </w:r>
    </w:p>
  </w:footnote>
  <w:footnote w:type="continuationSeparator" w:id="0">
    <w:p w14:paraId="28C9591B" w14:textId="77777777" w:rsidR="000B2AC8" w:rsidRDefault="000B2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AC8"/>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32338</TotalTime>
  <Pages>13</Pages>
  <Words>6877</Words>
  <Characters>39200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6247</cp:revision>
  <cp:lastPrinted>2009-02-06T05:36:00Z</cp:lastPrinted>
  <dcterms:created xsi:type="dcterms:W3CDTF">2016-09-19T15:12:00Z</dcterms:created>
  <dcterms:modified xsi:type="dcterms:W3CDTF">2017-02-21T21:37:00Z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