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B721" w14:textId="6621CCBF" w:rsidR="005A7551" w:rsidRDefault="003D3713" w:rsidP="003D3713">
      <w:pPr>
        <w:rPr>
          <w:rFonts w:ascii="Verdana" w:hAnsi="Verdana"/>
          <w:b/>
          <w:bCs/>
          <w:color w:val="000000"/>
          <w:shd w:val="clear" w:color="auto" w:fill="FFFFFF"/>
        </w:rPr>
      </w:pPr>
      <w:r>
        <w:rPr>
          <w:rFonts w:ascii="Verdana" w:hAnsi="Verdana"/>
          <w:b/>
          <w:bCs/>
          <w:color w:val="000000"/>
          <w:shd w:val="clear" w:color="auto" w:fill="FFFFFF"/>
        </w:rPr>
        <w:t>Рижакова Галина Михайлівна. Економічна діагностика та багатокритеріальна оптимізація портфелю будівельних інвестицій : Дис... канд. екон. наук: 08.07.03 / Київський національний ун-т будівництва і архітектури. — К., 2006. — 210арк. : табл. — Бібліогр.: арк. 188-203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D3713" w:rsidRPr="003D3713" w14:paraId="703C28B5" w14:textId="77777777" w:rsidTr="003D37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3713" w:rsidRPr="003D3713" w14:paraId="760868A1" w14:textId="77777777">
              <w:trPr>
                <w:tblCellSpacing w:w="0" w:type="dxa"/>
              </w:trPr>
              <w:tc>
                <w:tcPr>
                  <w:tcW w:w="0" w:type="auto"/>
                  <w:vAlign w:val="center"/>
                  <w:hideMark/>
                </w:tcPr>
                <w:p w14:paraId="0738BE22"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b/>
                      <w:bCs/>
                      <w:sz w:val="24"/>
                      <w:szCs w:val="24"/>
                    </w:rPr>
                    <w:lastRenderedPageBreak/>
                    <w:t>Рижакова Г.М. Економічна діагностика та багатокритеріальна оптимізація портфелю будівельних інвестицій. – </w:t>
                  </w:r>
                  <w:r w:rsidRPr="003D3713">
                    <w:rPr>
                      <w:rFonts w:ascii="Times New Roman" w:eastAsia="Times New Roman" w:hAnsi="Times New Roman" w:cs="Times New Roman"/>
                      <w:sz w:val="24"/>
                      <w:szCs w:val="24"/>
                    </w:rPr>
                    <w:t>Рукопис.</w:t>
                  </w:r>
                </w:p>
                <w:p w14:paraId="26E2DF17"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w:t>
                  </w:r>
                  <w:r w:rsidRPr="003D3713">
                    <w:rPr>
                      <w:rFonts w:ascii="Times New Roman" w:eastAsia="Times New Roman" w:hAnsi="Times New Roman" w:cs="Times New Roman"/>
                      <w:b/>
                      <w:bCs/>
                      <w:sz w:val="24"/>
                      <w:szCs w:val="24"/>
                    </w:rPr>
                    <w:t> </w:t>
                  </w:r>
                  <w:r w:rsidRPr="003D3713">
                    <w:rPr>
                      <w:rFonts w:ascii="Times New Roman" w:eastAsia="Times New Roman" w:hAnsi="Times New Roman" w:cs="Times New Roman"/>
                      <w:sz w:val="24"/>
                      <w:szCs w:val="24"/>
                    </w:rPr>
                    <w:t>08.07.03. </w:t>
                  </w:r>
                  <w:r w:rsidRPr="003D3713">
                    <w:rPr>
                      <w:rFonts w:ascii="Times New Roman" w:eastAsia="Times New Roman" w:hAnsi="Times New Roman" w:cs="Times New Roman"/>
                      <w:b/>
                      <w:bCs/>
                      <w:sz w:val="24"/>
                      <w:szCs w:val="24"/>
                    </w:rPr>
                    <w:t>– </w:t>
                  </w:r>
                  <w:r w:rsidRPr="003D3713">
                    <w:rPr>
                      <w:rFonts w:ascii="Times New Roman" w:eastAsia="Times New Roman" w:hAnsi="Times New Roman" w:cs="Times New Roman"/>
                      <w:sz w:val="24"/>
                      <w:szCs w:val="24"/>
                    </w:rPr>
                    <w:t>„Економіка будівництва”. – Київський національний університет будівництва і архітектури, Київ, 2006.</w:t>
                  </w:r>
                </w:p>
                <w:p w14:paraId="68954CCB"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Дисертація присвячена розробці інноваційних теоретичних основ для потреб економічної оцінки, формування раціонального складу та ресурсно-календарного планування портфеля будівельних інвестицій. Інновація запропонованого підходу визначається тим, що економічні моделі оцінки та оптимізації складу портфеля інвестицій забезпечують раціональну структуру джерел фінансування, належний рівень фінансової стійкості інвестора, задовільний для інвестора рівень приросту ліквідних активів проектів в складі портфеля, високу прибутковість, а також надійність виконавців проектів.</w:t>
                  </w:r>
                </w:p>
                <w:p w14:paraId="42B006F9"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На базі теоретичних наукових результатів розроблено методику економічного обґрунтування процесів управління реальними інвестиціями і програмний комплекс „Поетапна економічна діагностика та формування раціонального портфеля інвестицій”.</w:t>
                  </w:r>
                </w:p>
              </w:tc>
            </w:tr>
          </w:tbl>
          <w:p w14:paraId="3BA2D117" w14:textId="77777777" w:rsidR="003D3713" w:rsidRPr="003D3713" w:rsidRDefault="003D3713" w:rsidP="003D3713">
            <w:pPr>
              <w:spacing w:after="0" w:line="240" w:lineRule="auto"/>
              <w:rPr>
                <w:rFonts w:ascii="Times New Roman" w:eastAsia="Times New Roman" w:hAnsi="Times New Roman" w:cs="Times New Roman"/>
                <w:sz w:val="24"/>
                <w:szCs w:val="24"/>
              </w:rPr>
            </w:pPr>
          </w:p>
        </w:tc>
      </w:tr>
      <w:tr w:rsidR="003D3713" w:rsidRPr="003D3713" w14:paraId="654EC308" w14:textId="77777777" w:rsidTr="003D37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3713" w:rsidRPr="003D3713" w14:paraId="28BF150F" w14:textId="77777777">
              <w:trPr>
                <w:tblCellSpacing w:w="0" w:type="dxa"/>
              </w:trPr>
              <w:tc>
                <w:tcPr>
                  <w:tcW w:w="0" w:type="auto"/>
                  <w:vAlign w:val="center"/>
                  <w:hideMark/>
                </w:tcPr>
                <w:p w14:paraId="4EF2A149"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1. Доведено, що формування раціонального складу портфеля інвестицій потребує перегляду критеріально-параметричної бази. Її слід підпорядкувати, насамперед, потребам забезпечення вимог інвестора щодо обсягу та структури податків організації-інвестора, структури джерел фінансування, а також надійності внутрішнього середовища впровадження будівельних проектів на основі зваженого добору виконавців, через комплексну економічну оцінку конкурентоспроможності їх діяльності на визначеному сегментів ринку БМР.</w:t>
                  </w:r>
                </w:p>
                <w:p w14:paraId="4D225F56"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2. Доведено доцільність підпорядкування моделі економічної оцінки й вибору альтернатив портфелю будівельних інвестицій кільком суперечливим критеріями – прибутковості, ліквідності, раціональності структури та обсягу власних джерел інвестора, Ці критерії запропоновано використовувати як для оцінці альтернатив, так і для ресурсно-календарного планування проектів та їх портфеля в цілому.</w:t>
                  </w:r>
                </w:p>
                <w:p w14:paraId="3AB03CB6"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3. Для цих потреб створено наступні моделі:</w:t>
                  </w:r>
                </w:p>
                <w:p w14:paraId="1615DD20"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модель прогнозування варіації вартісних параметрів проектів, що пропонуються до складу портфеля, з метою нейтралізації загроз для інвестора на передінвестиційній фазі;</w:t>
                  </w:r>
                </w:p>
                <w:p w14:paraId="5FD0C148"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модель формування складу інвестиційного портфеля шляхом визначення їх порівняльних переваг за кількома локальними критеріями.</w:t>
                  </w:r>
                </w:p>
                <w:p w14:paraId="6693CAE2"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4. Розроблена інноваційна критеріальна база використовується не лише для порівняльної діагностики, але й виступає в якості обмежень. Проекти, що не відповідають встановленим граничним обмеженням, вилучаються з попереднього складу інвестиційного портфеля, з решти – формується матриця локальних пріоритетів. Пропоновані економічні моделі дають підстави визначити пріоритети проектів і сформувати з них портфель проектів у відповідності з інвестиційними можливостями та стратегією інвестора.</w:t>
                  </w:r>
                </w:p>
                <w:p w14:paraId="4EDB373D"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lastRenderedPageBreak/>
                    <w:t>5. Доведено потребу забезпечення надійності внутрішнього середовища впровадження проектів шляхом комплексної економічної діагностики надійності потенційних виконавців. З цією метою створено модель економетричного оцінювання їх ресурсного та конкурентного потенціалу за 23 параметрами, згрупованими в 4 групи, серед яких виробничо-технологічна конкурентоспроможність, фінансова надійність та оцінка іміджу виконавця. Модель позиціонується як універсальний засіб економетричного зважування інвестором конкурентних переваг будівельних та спеціалізованих організацій як потенційних виконавців будівельних проектів в конкурентній боротьбі за одержання замовлення на виконання БМР.</w:t>
                  </w:r>
                </w:p>
                <w:p w14:paraId="4AE2F1A8"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6. На базі теоретичних наукових результатів розроблено методику економічного обґрунтування процесів управління реальними інвестиціями і програмний комплекс „Поетапна економічна діагностика та формування раціонального портфеля інвестицій”. Програмний комплекс включає наступні розрахунково-аналітичні підсистеми:</w:t>
                  </w:r>
                </w:p>
                <w:p w14:paraId="7F5D9358"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Формування вихідних даних;</w:t>
                  </w:r>
                </w:p>
                <w:p w14:paraId="43EA8497"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Вибір галузевих інвестиційних пріоритетів;</w:t>
                  </w:r>
                </w:p>
                <w:p w14:paraId="16ED64CF"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Порівняльна економічна діагностика конкурентоспроможності потенційних виконавців будівельних проектів;</w:t>
                  </w:r>
                </w:p>
                <w:p w14:paraId="2C410569"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Варіативне прогнозування економічних параметрів проектів;</w:t>
                  </w:r>
                </w:p>
                <w:p w14:paraId="55794710"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Локальні критерії економічної діагностики проектів;</w:t>
                  </w:r>
                </w:p>
                <w:p w14:paraId="28A81A50"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Загальні інвестиційні пріоритети;</w:t>
                  </w:r>
                </w:p>
                <w:p w14:paraId="54063F4F"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Локальні ресурсно-календарні моделі;</w:t>
                  </w:r>
                </w:p>
                <w:p w14:paraId="0EB7A826"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Загальна ресурсно-календарна модель інвестиційної програми.</w:t>
                  </w:r>
                </w:p>
                <w:p w14:paraId="36BA633E"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7. Завершальним етапом дослідження є розроблені проекти адаптації структур управління інвестиційним процесом до потреб раціонального формування та втілення інвестиційних проектів. Здійснено оновлення організаційної структури управління будівельно-інвестиційної компанії „Фомальгаут-полімін”: до її складу запропоновано включити відділ економічного прогнозування та ресурсно-календарного моделювання, в якому сполучено переваги традиційних (функціональних), матричних і проектних моделей управління.</w:t>
                  </w:r>
                </w:p>
                <w:p w14:paraId="277E0629" w14:textId="77777777" w:rsidR="003D3713" w:rsidRPr="003D3713" w:rsidRDefault="003D3713" w:rsidP="003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713">
                    <w:rPr>
                      <w:rFonts w:ascii="Times New Roman" w:eastAsia="Times New Roman" w:hAnsi="Times New Roman" w:cs="Times New Roman"/>
                      <w:sz w:val="24"/>
                      <w:szCs w:val="24"/>
                    </w:rPr>
                    <w:t>8. Науково-аналітичні та методичні результати даної роботи, довели свою достовірність шляхом застосування в практиці управління інвестиційної діяльності. За їх допомогою інвестори зможуть здійснювати комплексну варіативну діагностику проектів, забезпечувати обґрунтований відбір проектів до складу інвестиційного портфелю, формувати раціональні параметри та умови їх ефективного і прибуткового втілення.</w:t>
                  </w:r>
                </w:p>
              </w:tc>
            </w:tr>
          </w:tbl>
          <w:p w14:paraId="4597A2D6" w14:textId="77777777" w:rsidR="003D3713" w:rsidRPr="003D3713" w:rsidRDefault="003D3713" w:rsidP="003D3713">
            <w:pPr>
              <w:spacing w:after="0" w:line="240" w:lineRule="auto"/>
              <w:rPr>
                <w:rFonts w:ascii="Times New Roman" w:eastAsia="Times New Roman" w:hAnsi="Times New Roman" w:cs="Times New Roman"/>
                <w:sz w:val="24"/>
                <w:szCs w:val="24"/>
              </w:rPr>
            </w:pPr>
          </w:p>
        </w:tc>
      </w:tr>
    </w:tbl>
    <w:p w14:paraId="39B8B48C" w14:textId="77777777" w:rsidR="003D3713" w:rsidRPr="003D3713" w:rsidRDefault="003D3713" w:rsidP="003D3713"/>
    <w:sectPr w:rsidR="003D3713" w:rsidRPr="003D371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124C" w14:textId="77777777" w:rsidR="00F07CB5" w:rsidRDefault="00F07CB5">
      <w:pPr>
        <w:spacing w:after="0" w:line="240" w:lineRule="auto"/>
      </w:pPr>
      <w:r>
        <w:separator/>
      </w:r>
    </w:p>
  </w:endnote>
  <w:endnote w:type="continuationSeparator" w:id="0">
    <w:p w14:paraId="544E4E0C" w14:textId="77777777" w:rsidR="00F07CB5" w:rsidRDefault="00F0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0634" w14:textId="77777777" w:rsidR="00F07CB5" w:rsidRDefault="00F07CB5">
      <w:pPr>
        <w:spacing w:after="0" w:line="240" w:lineRule="auto"/>
      </w:pPr>
      <w:r>
        <w:separator/>
      </w:r>
    </w:p>
  </w:footnote>
  <w:footnote w:type="continuationSeparator" w:id="0">
    <w:p w14:paraId="1DFAFE82" w14:textId="77777777" w:rsidR="00F07CB5" w:rsidRDefault="00F0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7CB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CB5"/>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55904</TotalTime>
  <Pages>3</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11515</cp:revision>
  <dcterms:created xsi:type="dcterms:W3CDTF">2024-06-20T08:51:00Z</dcterms:created>
  <dcterms:modified xsi:type="dcterms:W3CDTF">2024-08-18T12:28:00Z</dcterms:modified>
  <cp:category/>
</cp:coreProperties>
</file>