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28" w:rsidRDefault="009D76E1" w:rsidP="009D76E1">
      <w:pPr>
        <w:rPr>
          <w:rFonts w:ascii="Times New Roman" w:eastAsia="Calibri" w:hAnsi="Times New Roman" w:cs="Times New Roman"/>
          <w:kern w:val="0"/>
          <w:sz w:val="28"/>
          <w:szCs w:val="28"/>
          <w:lang w:val="uk-UA" w:eastAsia="en-US"/>
        </w:rPr>
      </w:pPr>
      <w:r w:rsidRPr="009D76E1">
        <w:rPr>
          <w:rFonts w:ascii="Times New Roman" w:eastAsia="Calibri" w:hAnsi="Times New Roman" w:cs="Times New Roman" w:hint="eastAsia"/>
          <w:kern w:val="0"/>
          <w:sz w:val="28"/>
          <w:szCs w:val="28"/>
          <w:lang w:val="uk-UA" w:eastAsia="en-US"/>
        </w:rPr>
        <w:t>Расембуаринирина</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Аллис</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Аминах</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Закономерности</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окислительно</w:t>
      </w:r>
      <w:r w:rsidRPr="009D76E1">
        <w:rPr>
          <w:rFonts w:ascii="Times New Roman" w:eastAsia="Calibri" w:hAnsi="Times New Roman" w:cs="Times New Roman"/>
          <w:kern w:val="0"/>
          <w:sz w:val="28"/>
          <w:szCs w:val="28"/>
          <w:lang w:val="uk-UA" w:eastAsia="en-US"/>
        </w:rPr>
        <w:t>-</w:t>
      </w:r>
      <w:r w:rsidRPr="009D76E1">
        <w:rPr>
          <w:rFonts w:ascii="Times New Roman" w:eastAsia="Calibri" w:hAnsi="Times New Roman" w:cs="Times New Roman" w:hint="eastAsia"/>
          <w:kern w:val="0"/>
          <w:sz w:val="28"/>
          <w:szCs w:val="28"/>
          <w:lang w:val="uk-UA" w:eastAsia="en-US"/>
        </w:rPr>
        <w:t>адсорбционного</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процесса</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очистки</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газов</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от</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сероводорода</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на</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активных</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углях</w:t>
      </w:r>
      <w:r w:rsidRPr="009D76E1">
        <w:rPr>
          <w:rFonts w:ascii="Times New Roman" w:eastAsia="Calibri" w:hAnsi="Times New Roman" w:cs="Times New Roman"/>
          <w:kern w:val="0"/>
          <w:sz w:val="28"/>
          <w:szCs w:val="28"/>
          <w:lang w:val="uk-UA" w:eastAsia="en-US"/>
        </w:rPr>
        <w:t xml:space="preserve"> : </w:t>
      </w:r>
      <w:r w:rsidRPr="009D76E1">
        <w:rPr>
          <w:rFonts w:ascii="Times New Roman" w:eastAsia="Calibri" w:hAnsi="Times New Roman" w:cs="Times New Roman" w:hint="eastAsia"/>
          <w:kern w:val="0"/>
          <w:sz w:val="28"/>
          <w:szCs w:val="28"/>
          <w:lang w:val="uk-UA" w:eastAsia="en-US"/>
        </w:rPr>
        <w:t>диссертация</w:t>
      </w:r>
      <w:r w:rsidRPr="009D76E1">
        <w:rPr>
          <w:rFonts w:ascii="Times New Roman" w:eastAsia="Calibri" w:hAnsi="Times New Roman" w:cs="Times New Roman"/>
          <w:kern w:val="0"/>
          <w:sz w:val="28"/>
          <w:szCs w:val="28"/>
          <w:lang w:val="uk-UA" w:eastAsia="en-US"/>
        </w:rPr>
        <w:t xml:space="preserve"> ... </w:t>
      </w:r>
      <w:r w:rsidRPr="009D76E1">
        <w:rPr>
          <w:rFonts w:ascii="Times New Roman" w:eastAsia="Calibri" w:hAnsi="Times New Roman" w:cs="Times New Roman" w:hint="eastAsia"/>
          <w:kern w:val="0"/>
          <w:sz w:val="28"/>
          <w:szCs w:val="28"/>
          <w:lang w:val="uk-UA" w:eastAsia="en-US"/>
        </w:rPr>
        <w:t>кандидата</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технических</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наук</w:t>
      </w:r>
      <w:r w:rsidRPr="009D76E1">
        <w:rPr>
          <w:rFonts w:ascii="Times New Roman" w:eastAsia="Calibri" w:hAnsi="Times New Roman" w:cs="Times New Roman"/>
          <w:kern w:val="0"/>
          <w:sz w:val="28"/>
          <w:szCs w:val="28"/>
          <w:lang w:val="uk-UA" w:eastAsia="en-US"/>
        </w:rPr>
        <w:t xml:space="preserve"> : 02.00.13.- </w:t>
      </w:r>
      <w:r w:rsidRPr="009D76E1">
        <w:rPr>
          <w:rFonts w:ascii="Times New Roman" w:eastAsia="Calibri" w:hAnsi="Times New Roman" w:cs="Times New Roman" w:hint="eastAsia"/>
          <w:kern w:val="0"/>
          <w:sz w:val="28"/>
          <w:szCs w:val="28"/>
          <w:lang w:val="uk-UA" w:eastAsia="en-US"/>
        </w:rPr>
        <w:t>Москва</w:t>
      </w:r>
      <w:r w:rsidRPr="009D76E1">
        <w:rPr>
          <w:rFonts w:ascii="Times New Roman" w:eastAsia="Calibri" w:hAnsi="Times New Roman" w:cs="Times New Roman"/>
          <w:kern w:val="0"/>
          <w:sz w:val="28"/>
          <w:szCs w:val="28"/>
          <w:lang w:val="uk-UA" w:eastAsia="en-US"/>
        </w:rPr>
        <w:t xml:space="preserve">, 2000.- 138 </w:t>
      </w:r>
      <w:r w:rsidRPr="009D76E1">
        <w:rPr>
          <w:rFonts w:ascii="Times New Roman" w:eastAsia="Calibri" w:hAnsi="Times New Roman" w:cs="Times New Roman" w:hint="eastAsia"/>
          <w:kern w:val="0"/>
          <w:sz w:val="28"/>
          <w:szCs w:val="28"/>
          <w:lang w:val="uk-UA" w:eastAsia="en-US"/>
        </w:rPr>
        <w:t>с</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ил</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РГБ</w:t>
      </w:r>
      <w:r w:rsidRPr="009D76E1">
        <w:rPr>
          <w:rFonts w:ascii="Times New Roman" w:eastAsia="Calibri" w:hAnsi="Times New Roman" w:cs="Times New Roman"/>
          <w:kern w:val="0"/>
          <w:sz w:val="28"/>
          <w:szCs w:val="28"/>
          <w:lang w:val="uk-UA" w:eastAsia="en-US"/>
        </w:rPr>
        <w:t xml:space="preserve"> </w:t>
      </w:r>
      <w:r w:rsidRPr="009D76E1">
        <w:rPr>
          <w:rFonts w:ascii="Times New Roman" w:eastAsia="Calibri" w:hAnsi="Times New Roman" w:cs="Times New Roman" w:hint="eastAsia"/>
          <w:kern w:val="0"/>
          <w:sz w:val="28"/>
          <w:szCs w:val="28"/>
          <w:lang w:val="uk-UA" w:eastAsia="en-US"/>
        </w:rPr>
        <w:t>ОД</w:t>
      </w:r>
      <w:r w:rsidRPr="009D76E1">
        <w:rPr>
          <w:rFonts w:ascii="Times New Roman" w:eastAsia="Calibri" w:hAnsi="Times New Roman" w:cs="Times New Roman"/>
          <w:kern w:val="0"/>
          <w:sz w:val="28"/>
          <w:szCs w:val="28"/>
          <w:lang w:val="uk-UA" w:eastAsia="en-US"/>
        </w:rPr>
        <w:t>, 61 00-5/2975-9</w:t>
      </w:r>
    </w:p>
    <w:p w:rsidR="009D76E1" w:rsidRDefault="009D76E1" w:rsidP="009D76E1">
      <w:pPr>
        <w:rPr>
          <w:rFonts w:ascii="Times New Roman" w:eastAsia="Calibri" w:hAnsi="Times New Roman" w:cs="Times New Roman"/>
          <w:kern w:val="0"/>
          <w:sz w:val="28"/>
          <w:szCs w:val="28"/>
          <w:lang w:val="uk-UA" w:eastAsia="en-US"/>
        </w:rPr>
      </w:pPr>
    </w:p>
    <w:p w:rsidR="009D76E1" w:rsidRDefault="009D76E1" w:rsidP="009D76E1">
      <w:pPr>
        <w:rPr>
          <w:rFonts w:ascii="Times New Roman" w:eastAsia="Calibri" w:hAnsi="Times New Roman" w:cs="Times New Roman"/>
          <w:kern w:val="0"/>
          <w:sz w:val="28"/>
          <w:szCs w:val="28"/>
          <w:lang w:val="uk-UA" w:eastAsia="en-US"/>
        </w:rPr>
      </w:pPr>
    </w:p>
    <w:p w:rsidR="009D76E1" w:rsidRDefault="009D76E1" w:rsidP="009D76E1">
      <w:pPr>
        <w:rPr>
          <w:rFonts w:ascii="Times New Roman" w:eastAsia="Calibri" w:hAnsi="Times New Roman" w:cs="Times New Roman"/>
          <w:kern w:val="0"/>
          <w:sz w:val="28"/>
          <w:szCs w:val="28"/>
          <w:lang w:val="uk-UA" w:eastAsia="en-US"/>
        </w:rPr>
      </w:pP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РОССИЙСКИЙ ГОСУДАРСТВЕННЫЙ УНЖЕРСИТЕТ</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НЕФТИ И ГАЗА ИМ. И.М. ГУБКИНА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На правах рукописи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УДК 66. 074. 5. 08Г 3. 097</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РАСЕМБУАРЕПНИРИНА Аллис Аминах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ЗАКОНОМЕРНОСТИ ОКИСЛИТЕЛЬНО-АДСОРБЦИОННОГО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ПРОЦЕССА ОЧИСТКИ ГАЗОВ ОТ СЕРОВОДОРОДА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НА АКТИВНЫХ УГЛЯХ.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 xml:space="preserve">02.00.13 </w:t>
      </w:r>
      <w:r w:rsidRPr="009D76E1">
        <w:rPr>
          <w:rFonts w:ascii="Palatino Linotype" w:hAnsi="Palatino Linotype" w:cs="Palatino Linotype"/>
          <w:b/>
          <w:bCs/>
          <w:kern w:val="0"/>
          <w:sz w:val="26"/>
          <w:szCs w:val="26"/>
          <w:lang w:eastAsia="ru-RU"/>
        </w:rPr>
        <w:t xml:space="preserve">— </w:t>
      </w:r>
      <w:r w:rsidRPr="009D76E1">
        <w:rPr>
          <w:rFonts w:ascii="Times New Roman" w:hAnsi="Times New Roman" w:cs="Times New Roman"/>
          <w:kern w:val="0"/>
          <w:sz w:val="26"/>
          <w:szCs w:val="26"/>
          <w:lang w:eastAsia="ru-RU"/>
        </w:rPr>
        <w:t>Нефтехимия</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Диссертация на соискание ученой степени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кандидата технических наук</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Москва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2000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СТР</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Введение </w:t>
      </w:r>
      <w:r w:rsidRPr="009D76E1">
        <w:rPr>
          <w:rFonts w:ascii="Times New Roman" w:hAnsi="Times New Roman" w:cs="Times New Roman"/>
          <w:kern w:val="0"/>
          <w:sz w:val="26"/>
          <w:szCs w:val="26"/>
          <w:lang w:eastAsia="ru-RU"/>
        </w:rPr>
        <w:t>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0"/>
          <w:szCs w:val="30"/>
          <w:lang w:eastAsia="ru-RU"/>
        </w:rPr>
      </w:pPr>
      <w:r w:rsidRPr="009D76E1">
        <w:rPr>
          <w:rFonts w:ascii="Times New Roman" w:hAnsi="Times New Roman" w:cs="Times New Roman"/>
          <w:b/>
          <w:bCs/>
          <w:kern w:val="0"/>
          <w:sz w:val="30"/>
          <w:szCs w:val="30"/>
          <w:lang w:eastAsia="ru-RU"/>
        </w:rPr>
        <w:t>Глава I. Очистка природных и технологических газов от</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9D76E1">
        <w:rPr>
          <w:rFonts w:ascii="Times New Roman" w:hAnsi="Times New Roman" w:cs="Times New Roman"/>
          <w:b/>
          <w:bCs/>
          <w:kern w:val="0"/>
          <w:sz w:val="30"/>
          <w:szCs w:val="30"/>
          <w:lang w:eastAsia="ru-RU"/>
        </w:rPr>
        <w:t xml:space="preserve">сернистых соединений с помощью твердых сорбентов </w:t>
      </w:r>
      <w:r w:rsidRPr="009D76E1">
        <w:rPr>
          <w:rFonts w:ascii="Times New Roman" w:hAnsi="Times New Roman" w:cs="Times New Roman"/>
          <w:kern w:val="0"/>
          <w:sz w:val="30"/>
          <w:szCs w:val="30"/>
          <w:lang w:eastAsia="ru-RU"/>
        </w:rPr>
        <w:t>7</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kern w:val="0"/>
          <w:sz w:val="26"/>
          <w:szCs w:val="26"/>
          <w:lang w:eastAsia="ru-RU"/>
        </w:rPr>
        <w:t xml:space="preserve">1.1. </w:t>
      </w:r>
      <w:r w:rsidRPr="009D76E1">
        <w:rPr>
          <w:rFonts w:ascii="Times New Roman" w:hAnsi="Times New Roman" w:cs="Times New Roman"/>
          <w:b/>
          <w:bCs/>
          <w:kern w:val="0"/>
          <w:sz w:val="26"/>
          <w:szCs w:val="26"/>
          <w:lang w:eastAsia="ru-RU"/>
        </w:rPr>
        <w:t>Адсорбционные методы очистки природного газа от</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сернистых соединений </w:t>
      </w:r>
      <w:r w:rsidRPr="009D76E1">
        <w:rPr>
          <w:rFonts w:ascii="Times New Roman" w:hAnsi="Times New Roman" w:cs="Times New Roman"/>
          <w:kern w:val="0"/>
          <w:sz w:val="26"/>
          <w:szCs w:val="26"/>
          <w:lang w:eastAsia="ru-RU"/>
        </w:rPr>
        <w:t>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1.2 Хемосорбционные методы </w:t>
      </w:r>
      <w:r w:rsidRPr="009D76E1">
        <w:rPr>
          <w:rFonts w:ascii="Times New Roman" w:hAnsi="Times New Roman" w:cs="Times New Roman"/>
          <w:kern w:val="0"/>
          <w:sz w:val="26"/>
          <w:szCs w:val="26"/>
          <w:lang w:eastAsia="ru-RU"/>
        </w:rPr>
        <w:t>13</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1.2.1 Очистка газов с использованием хемосорбентов на основе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оксидов железа 14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1.2.2 Очистка газов с использованием хемосорбентов на основе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оксида цинка 16</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1.2.3 Очистка газов с использованием хемосорбентов на основе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оксидов меди 20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1.2.4 Хемосорбенты на основе оксидов молибдена 21</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1.3 Окислительные методы </w:t>
      </w:r>
      <w:r w:rsidRPr="009D76E1">
        <w:rPr>
          <w:rFonts w:ascii="Times New Roman" w:hAnsi="Times New Roman" w:cs="Times New Roman"/>
          <w:kern w:val="0"/>
          <w:sz w:val="26"/>
          <w:szCs w:val="26"/>
          <w:lang w:eastAsia="ru-RU"/>
        </w:rPr>
        <w:t>24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1.3.1. Методы очистки с использованием твердого окислителя. 24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1.3.2. Каталитические окислительные методы с использованием</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окислителя, добавляемого в очищаемый газ 27</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1.3.2.1. Каталитическое окисление сероводорода на активных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углях 27</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1.3.2.2 Методы изучения реакции окисления НгЗ на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активных углях и исследования её механизма 38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1.3.2.3 Побочные окислительные процессы, протекающие в</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ходе прямого окисления сероводорода на активных углях 56</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Georgia" w:hAnsi="Georgia" w:cs="Georgia"/>
          <w:kern w:val="0"/>
          <w:sz w:val="24"/>
          <w:szCs w:val="24"/>
          <w:lang w:eastAsia="ru-RU"/>
        </w:rPr>
      </w:pPr>
      <w:r w:rsidRPr="009D76E1">
        <w:rPr>
          <w:rFonts w:ascii="Georgia" w:hAnsi="Georgia" w:cs="Georgia"/>
          <w:kern w:val="0"/>
          <w:sz w:val="24"/>
          <w:szCs w:val="24"/>
          <w:lang w:eastAsia="ru-RU"/>
        </w:rPr>
        <w:t>2</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Глава II. Экспериментальная часть </w:t>
      </w:r>
      <w:r w:rsidRPr="009D76E1">
        <w:rPr>
          <w:rFonts w:ascii="Times New Roman" w:hAnsi="Times New Roman" w:cs="Times New Roman"/>
          <w:kern w:val="0"/>
          <w:sz w:val="26"/>
          <w:szCs w:val="26"/>
          <w:lang w:eastAsia="ru-RU"/>
        </w:rPr>
        <w:t>59</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2.1 Цели и задачи эксперимента </w:t>
      </w:r>
      <w:r w:rsidRPr="009D76E1">
        <w:rPr>
          <w:rFonts w:ascii="Times New Roman" w:hAnsi="Times New Roman" w:cs="Times New Roman"/>
          <w:kern w:val="0"/>
          <w:sz w:val="26"/>
          <w:szCs w:val="26"/>
          <w:lang w:eastAsia="ru-RU"/>
        </w:rPr>
        <w:t>59</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2.2 Объекты исследования </w:t>
      </w:r>
      <w:r w:rsidRPr="009D76E1">
        <w:rPr>
          <w:rFonts w:ascii="Times New Roman" w:hAnsi="Times New Roman" w:cs="Times New Roman"/>
          <w:kern w:val="0"/>
          <w:sz w:val="26"/>
          <w:szCs w:val="26"/>
          <w:lang w:eastAsia="ru-RU"/>
        </w:rPr>
        <w:t>60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2.3 Описание экспериментальной установки </w:t>
      </w:r>
      <w:r w:rsidRPr="009D76E1">
        <w:rPr>
          <w:rFonts w:ascii="Times New Roman" w:hAnsi="Times New Roman" w:cs="Times New Roman"/>
          <w:kern w:val="0"/>
          <w:sz w:val="26"/>
          <w:szCs w:val="26"/>
          <w:lang w:eastAsia="ru-RU"/>
        </w:rPr>
        <w:t>64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2.4 Методики проведения эксперимента </w:t>
      </w:r>
      <w:r w:rsidRPr="009D76E1">
        <w:rPr>
          <w:rFonts w:ascii="Times New Roman" w:hAnsi="Times New Roman" w:cs="Times New Roman"/>
          <w:kern w:val="0"/>
          <w:sz w:val="26"/>
          <w:szCs w:val="26"/>
          <w:lang w:eastAsia="ru-RU"/>
        </w:rPr>
        <w:t>66</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2.4.1 Изучение кинетики окисления сероводорода в</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безградиентном реакторе (на зерне) 66</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2.4.2 Проведение эксперимента по изучению кинетики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окисления сероводорода в интегральном реакторе (в слое) 68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2.4.3. Проведение эксперимента по изучению кинетики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восстановления серной кислоты сероводородом на АУ 69</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2.5. Аналитические методы, используемые в эксперименте </w:t>
      </w:r>
      <w:r w:rsidRPr="009D76E1">
        <w:rPr>
          <w:rFonts w:ascii="Times New Roman" w:hAnsi="Times New Roman" w:cs="Times New Roman"/>
          <w:kern w:val="0"/>
          <w:sz w:val="26"/>
          <w:szCs w:val="26"/>
          <w:lang w:eastAsia="ru-RU"/>
        </w:rPr>
        <w:t>71</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2.5.1 Определение содержания сероводорода в газе 71</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2.5.2 Определение содержания сернистого ангидрида в газе 72</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2.5.3 Определение содержания серной кислоты в активном угле 74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kern w:val="0"/>
          <w:sz w:val="26"/>
          <w:szCs w:val="26"/>
          <w:lang w:eastAsia="ru-RU"/>
        </w:rPr>
        <w:t>2.5.4 Определение содержания серы в активном угле 75</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Глава III. Изучение кинетики окисления сероводорода на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9D76E1">
        <w:rPr>
          <w:rFonts w:ascii="Times New Roman" w:hAnsi="Times New Roman" w:cs="Times New Roman"/>
          <w:b/>
          <w:bCs/>
          <w:kern w:val="0"/>
          <w:sz w:val="26"/>
          <w:szCs w:val="26"/>
          <w:lang w:eastAsia="ru-RU"/>
        </w:rPr>
        <w:t xml:space="preserve">зерне АУ </w:t>
      </w:r>
      <w:r w:rsidRPr="009D76E1">
        <w:rPr>
          <w:rFonts w:ascii="Times New Roman" w:hAnsi="Times New Roman" w:cs="Times New Roman"/>
          <w:kern w:val="0"/>
          <w:sz w:val="26"/>
          <w:szCs w:val="26"/>
          <w:lang w:eastAsia="ru-RU"/>
        </w:rPr>
        <w:t>80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Глава IV. Изучение кинетики восстановления серной кислоты</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сероводородом на АУ 90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Глава V. Исследование взаимодействия сероводорода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 кислородом в слое АУ 98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Глава VI. Исследование активных углей, выпускаемых в России,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 процессе очистки газов от сероводорода 108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Выводы</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Приложения</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Литература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9D76E1">
        <w:rPr>
          <w:rFonts w:ascii="Times New Roman" w:hAnsi="Times New Roman" w:cs="Times New Roman"/>
          <w:b/>
          <w:bCs/>
          <w:kern w:val="0"/>
          <w:lang w:eastAsia="ru-RU"/>
        </w:rPr>
        <w:t>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ВВЕДЕНИЕ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За последние 20 лет мировое потребление энергии увеличилось на 38%,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природного газа - на 50%, нефти - на 12% и угля - на 28%.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Даже в условиях жёсткой конкуренции энергоносителей роль газа, как</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наиболее экологически чистого вида топлива, заметно возрастает и, по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прогнозам экспертов, его доля в энергобалансе мира к середине 21 века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может составить 28 - 30%.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 топливно-энергетическом балансе (ТЭБ) России доля природного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газа составляет 50%. Прогнозируется увеличение её в 2010 г до 58%.</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Для России, имеющей 33% разведанных запасов и свыше 40%</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прогнозных ресурсов газа планеты (мировые доказанные запасы природного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газа составляют более 148 трлн м^), газ является не просто очередным</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эффективным энергоресурсом, а важнейшим средством решения многих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сложных социальных и экономических проблем.</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 настоящее время 66% добываемого в России природного газа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потребляется внутри страны, 20% экспортируется в страны Центральной,</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Юго-восточной и западной Европы, 14% - в страны СНГ и Балтии.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Газовая промышленность России, в которой трудится лишь 0,4%</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занятых в народном хозяйстве, даёт 6% валового продукта производства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(ВПП). Она стала ключевой в решении широкого спектра наиболее острых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стратегических задач социально-экономического развития России.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Новые сферы применения природного газа открываются в сфере ряда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технологических процессов, в частности это касается, чёрной и цветной</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металлургии, а также в сельскохозяйственном производстве и коммзлнально-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бытовом секторе, в строительной индустрии.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Использование природного газа на транспорте даёт возможность</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существенно снизить вредное воздействие техники на окружающую среду.</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9D76E1">
        <w:rPr>
          <w:rFonts w:ascii="Times New Roman" w:hAnsi="Times New Roman" w:cs="Times New Roman"/>
          <w:b/>
          <w:bCs/>
          <w:kern w:val="0"/>
          <w:lang w:eastAsia="ru-RU"/>
        </w:rPr>
        <w:t>5</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Заложенные природой в этот вид топлива высокие физико-химические 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антидетонационные свойства позволяют заменять им высокооктановые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бензины и снижать выбросы до значений, з^азанных в действующих в</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развитых странах нормативах.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Многие природные газы в своём составе содержат сернистые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Georgia" w:hAnsi="Georgia" w:cs="Georgia"/>
          <w:b/>
          <w:bCs/>
          <w:kern w:val="0"/>
          <w:sz w:val="26"/>
          <w:szCs w:val="26"/>
          <w:lang w:eastAsia="ru-RU"/>
        </w:rPr>
      </w:pPr>
      <w:r w:rsidRPr="009D76E1">
        <w:rPr>
          <w:rFonts w:ascii="Times New Roman" w:hAnsi="Times New Roman" w:cs="Times New Roman"/>
          <w:b/>
          <w:bCs/>
          <w:kern w:val="0"/>
          <w:sz w:val="26"/>
          <w:szCs w:val="26"/>
          <w:lang w:eastAsia="ru-RU"/>
        </w:rPr>
        <w:t xml:space="preserve">компоненты. Среди сернистых компонентов чаше всего встречаются </w:t>
      </w:r>
      <w:r w:rsidRPr="009D76E1">
        <w:rPr>
          <w:rFonts w:ascii="Georgia" w:hAnsi="Georgia" w:cs="Georgia"/>
          <w:b/>
          <w:bCs/>
          <w:kern w:val="0"/>
          <w:sz w:val="26"/>
          <w:szCs w:val="26"/>
          <w:lang w:eastAsia="ru-RU"/>
        </w:rPr>
        <w:t>H2S,</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 xml:space="preserve">меркаптаны RHS, серооксид углерода COS, сероуглерод </w:t>
      </w:r>
      <w:r w:rsidRPr="009D76E1">
        <w:rPr>
          <w:rFonts w:ascii="Georgia" w:hAnsi="Georgia" w:cs="Georgia"/>
          <w:b/>
          <w:bCs/>
          <w:kern w:val="0"/>
          <w:sz w:val="26"/>
          <w:szCs w:val="26"/>
          <w:lang w:eastAsia="ru-RU"/>
        </w:rPr>
        <w:t xml:space="preserve">CS2, </w:t>
      </w:r>
      <w:r w:rsidRPr="009D76E1">
        <w:rPr>
          <w:rFonts w:ascii="Times New Roman" w:hAnsi="Times New Roman" w:cs="Times New Roman"/>
          <w:b/>
          <w:bCs/>
          <w:kern w:val="0"/>
          <w:sz w:val="26"/>
          <w:szCs w:val="26"/>
          <w:lang w:eastAsia="ru-RU"/>
        </w:rPr>
        <w:t>сульфиды RSR.</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Сернистые соединения отравляют катализаторы в процессах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переработки газа. При сгорании они образуют оксиды серы, содержание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которых в воздушном бассейне опасно для человека и окружающей среды.</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Требования к газу, подаваемому потребителям, по содержанию</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 xml:space="preserve">сернистых компонентов постоянно растут. Допускается содержание </w:t>
      </w:r>
      <w:r w:rsidRPr="009D76E1">
        <w:rPr>
          <w:rFonts w:ascii="Georgia" w:hAnsi="Georgia" w:cs="Georgia"/>
          <w:b/>
          <w:bCs/>
          <w:kern w:val="0"/>
          <w:sz w:val="26"/>
          <w:szCs w:val="26"/>
          <w:lang w:eastAsia="ru-RU"/>
        </w:rPr>
        <w:t xml:space="preserve">H2S </w:t>
      </w:r>
      <w:r w:rsidRPr="009D76E1">
        <w:rPr>
          <w:rFonts w:ascii="Times New Roman" w:hAnsi="Times New Roman" w:cs="Times New Roman"/>
          <w:b/>
          <w:bCs/>
          <w:kern w:val="0"/>
          <w:sz w:val="26"/>
          <w:szCs w:val="26"/>
          <w:lang w:eastAsia="ru-RU"/>
        </w:rPr>
        <w:t>в</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природном газе не более 5,7 мг/м^, общей серы - не более 50 мг/м^. С</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ужесточением норм по охране окружающей среды и всё большим</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использованием газа в качестве технологического и химического сырья</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необходимо практически полное извлечение сернистых компонентов из газа.</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В настоящее время добыча сероводородсодержащего природного газа в</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странах СНГ составляет около 10% всего объёма потребляемого газа. При</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этом содержание сероводорода в газах колеблется в широких пределах - от</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нескольких долей до десятков процентов. Такой газ перед подачей</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потребителю подвергают очистке.</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Окислительно-адсорбционный процесс очистки газов известен с 20-х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годов и широко применяется в промышленности. В то же время количество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научных статей и патентов, посвященных различным аспектам этого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процесса, практически не сокращается. Это является свидетельством того,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что с одной стороны, этот процесс представляет интерес для</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промышленности и является перспективным, с другой стороны, что процесс</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изучен недостаточно полно и возникает целый ряд проблем при его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9D76E1">
        <w:rPr>
          <w:rFonts w:ascii="Times New Roman" w:hAnsi="Times New Roman" w:cs="Times New Roman"/>
          <w:b/>
          <w:bCs/>
          <w:kern w:val="0"/>
          <w:lang w:eastAsia="ru-RU"/>
        </w:rPr>
        <w:t>6</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реализации для решения которых проводятся новые научно-</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исследовательские работы.</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Целью данной работы является исследование одного из</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технологических процессов очистки природного газа от сернистых</w:t>
      </w:r>
    </w:p>
    <w:p w:rsidR="009D76E1" w:rsidRP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9D76E1">
        <w:rPr>
          <w:rFonts w:ascii="Times New Roman" w:hAnsi="Times New Roman" w:cs="Times New Roman"/>
          <w:b/>
          <w:bCs/>
          <w:kern w:val="0"/>
          <w:sz w:val="26"/>
          <w:szCs w:val="26"/>
          <w:lang w:eastAsia="ru-RU"/>
        </w:rPr>
        <w:t>соединений - процесса окислительно-адсорбционной очистки на активных</w:t>
      </w:r>
    </w:p>
    <w:p w:rsidR="009D76E1" w:rsidRDefault="009D76E1" w:rsidP="009D76E1">
      <w:pPr>
        <w:rPr>
          <w:rFonts w:ascii="Times New Roman" w:hAnsi="Times New Roman" w:cs="Times New Roman"/>
          <w:kern w:val="0"/>
          <w:sz w:val="20"/>
          <w:szCs w:val="20"/>
          <w:lang w:eastAsia="ru-RU"/>
        </w:rPr>
      </w:pPr>
      <w:r w:rsidRPr="009D76E1">
        <w:rPr>
          <w:rFonts w:ascii="Times New Roman" w:hAnsi="Times New Roman" w:cs="Times New Roman"/>
          <w:b/>
          <w:bCs/>
          <w:kern w:val="0"/>
          <w:sz w:val="26"/>
          <w:szCs w:val="26"/>
          <w:lang w:eastAsia="ru-RU"/>
        </w:rPr>
        <w:t>углях (АУ).</w:t>
      </w:r>
      <w:r w:rsidRPr="009D76E1">
        <w:rPr>
          <w:rFonts w:ascii="Times New Roman" w:hAnsi="Times New Roman" w:cs="Times New Roman"/>
          <w:kern w:val="0"/>
          <w:sz w:val="20"/>
          <w:szCs w:val="20"/>
          <w:lang w:eastAsia="ru-RU"/>
        </w:rPr>
        <w:t>__</w:t>
      </w:r>
    </w:p>
    <w:p w:rsidR="009D76E1" w:rsidRDefault="009D76E1" w:rsidP="009D76E1">
      <w:pPr>
        <w:rPr>
          <w:rFonts w:ascii="Times New Roman" w:hAnsi="Times New Roman" w:cs="Times New Roman"/>
          <w:kern w:val="0"/>
          <w:sz w:val="20"/>
          <w:szCs w:val="20"/>
          <w:lang w:eastAsia="ru-RU"/>
        </w:rPr>
      </w:pPr>
    </w:p>
    <w:p w:rsidR="009D76E1" w:rsidRDefault="009D76E1" w:rsidP="009D76E1">
      <w:pPr>
        <w:rPr>
          <w:rFonts w:ascii="Times New Roman" w:hAnsi="Times New Roman" w:cs="Times New Roman"/>
          <w:kern w:val="0"/>
          <w:sz w:val="20"/>
          <w:szCs w:val="20"/>
          <w:lang w:eastAsia="ru-RU"/>
        </w:rPr>
      </w:pPr>
    </w:p>
    <w:p w:rsidR="009D76E1" w:rsidRDefault="009D76E1" w:rsidP="009D76E1">
      <w:pPr>
        <w:rPr>
          <w:rFonts w:ascii="Times New Roman" w:hAnsi="Times New Roman" w:cs="Times New Roman"/>
          <w:kern w:val="0"/>
          <w:sz w:val="20"/>
          <w:szCs w:val="20"/>
          <w:lang w:eastAsia="ru-RU"/>
        </w:rPr>
      </w:pP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Pr>
          <w:rFonts w:ascii="Times New Roman" w:hAnsi="Times New Roman" w:cs="Times New Roman"/>
          <w:b/>
          <w:bCs/>
          <w:kern w:val="0"/>
          <w:sz w:val="26"/>
          <w:szCs w:val="26"/>
          <w:lang w:eastAsia="ru-RU"/>
        </w:rPr>
        <w:t>ВЫВОДЫ</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 Проведены систематические исследования реакций, проходящих при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каталитическом окислении сероводорода на активных углях, направленные</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на совершенствование технологии и улучшение работы установок очистки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газовых сред окислительно — адсорбционным методом.</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2. Разработана методика испытания АУ, позволяющая измерять</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основные эксплуатационные характеристики образцов АУ (предельная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сероёмкость, длина зоны массопередачи, селективность). Методика</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рекомендуется для прогнозирования поведения различных марок АУ в</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процессах очистки и регенерации.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3. Проведено кинетическое исследование закономерности окисления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НгЗ кислородом на зерне АУ, позволившее рассчитывать динамику сорбции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НгЗ в слое АУ в зависимости от начальной концентрации НгЗ, температуры 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линейной скорости очищаемого газового потока. Установлена</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количественная зависимость скорости этой реакции от содержания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адсорбированной серы на поверхности угля. Экспериментальные данные</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обобщены в виде кинетических уравнений. Рассчитана энергия активации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изучаемой реакции.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4. Изучена динамика сорбции НгЗ в слое АУ различных марок и</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распределение продуктов окисления НгЗ (сера и серная кислота) вдоль слоя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АУ в зависимости от времени работы слоя.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5. Определено "время защитного действия " (время до проскока) слоя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различных марок АУ по НгЗ и ЗОг. Построены выходные кривые по этим</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соединениям. Установлено, что лимитирующей стадией процесса является</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проскок 802.</w:t>
      </w:r>
    </w:p>
    <w:p w:rsidR="009D76E1" w:rsidRDefault="009D76E1" w:rsidP="009D76E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6. Изз^ена кинетика восстановления Н2804 адсорбированной на АУ,</w:t>
      </w:r>
    </w:p>
    <w:p w:rsidR="009D76E1" w:rsidRPr="009D76E1" w:rsidRDefault="009D76E1" w:rsidP="009D76E1">
      <w:r>
        <w:rPr>
          <w:rFonts w:ascii="Times New Roman" w:hAnsi="Times New Roman" w:cs="Times New Roman"/>
          <w:kern w:val="0"/>
          <w:sz w:val="26"/>
          <w:szCs w:val="26"/>
          <w:lang w:eastAsia="ru-RU"/>
        </w:rPr>
        <w:t xml:space="preserve">что позволяет управлять этим процессом, варьируя концентрацию </w:t>
      </w:r>
      <w:r>
        <w:rPr>
          <w:rFonts w:ascii="Georgia" w:hAnsi="Georgia" w:cs="Georgia"/>
          <w:kern w:val="0"/>
          <w:sz w:val="26"/>
          <w:szCs w:val="26"/>
          <w:lang w:eastAsia="ru-RU"/>
        </w:rPr>
        <w:t xml:space="preserve">Н28 </w:t>
      </w:r>
      <w:r>
        <w:rPr>
          <w:rFonts w:ascii="Times New Roman" w:hAnsi="Times New Roman" w:cs="Times New Roman"/>
          <w:kern w:val="0"/>
          <w:sz w:val="26"/>
          <w:szCs w:val="26"/>
          <w:lang w:eastAsia="ru-RU"/>
        </w:rPr>
        <w:t>и</w:t>
      </w:r>
    </w:p>
    <w:sectPr w:rsidR="009D76E1" w:rsidRPr="009D76E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9D76E1" w:rsidRPr="009D76E1">
                    <w:rPr>
                      <w:rStyle w:val="afffff9"/>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B56EC"/>
    <w:multiLevelType w:val="multilevel"/>
    <w:tmpl w:val="D0560C8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AE30F97"/>
    <w:multiLevelType w:val="multilevel"/>
    <w:tmpl w:val="890C1622"/>
    <w:lvl w:ilvl="0">
      <w:start w:val="1"/>
      <w:numFmt w:val="decimal"/>
      <w:lvlText w:val="1.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090837"/>
    <w:multiLevelType w:val="multilevel"/>
    <w:tmpl w:val="9A46D7C2"/>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4237A0"/>
    <w:multiLevelType w:val="multilevel"/>
    <w:tmpl w:val="781C6E42"/>
    <w:lvl w:ilvl="0">
      <w:start w:val="1"/>
      <w:numFmt w:val="decimal"/>
      <w:lvlText w:val="1.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21E593C"/>
    <w:multiLevelType w:val="multilevel"/>
    <w:tmpl w:val="5678B4EC"/>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6A7AE6"/>
    <w:multiLevelType w:val="multilevel"/>
    <w:tmpl w:val="22F693CE"/>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770639"/>
    <w:multiLevelType w:val="multilevel"/>
    <w:tmpl w:val="CD942268"/>
    <w:lvl w:ilvl="0">
      <w:start w:val="1"/>
      <w:numFmt w:val="decimal"/>
      <w:lvlText w:val="1.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BF60EC"/>
    <w:multiLevelType w:val="multilevel"/>
    <w:tmpl w:val="36224052"/>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2746F1"/>
    <w:multiLevelType w:val="multilevel"/>
    <w:tmpl w:val="7C540608"/>
    <w:lvl w:ilvl="0">
      <w:start w:val="1"/>
      <w:numFmt w:val="decimal"/>
      <w:lvlText w:val="5.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C57997"/>
    <w:multiLevelType w:val="multilevel"/>
    <w:tmpl w:val="D136815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D6D122D"/>
    <w:multiLevelType w:val="multilevel"/>
    <w:tmpl w:val="0B60DA9E"/>
    <w:lvl w:ilvl="0">
      <w:start w:val="1"/>
      <w:numFmt w:val="decimal"/>
      <w:lvlText w:val="1.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807507"/>
    <w:multiLevelType w:val="multilevel"/>
    <w:tmpl w:val="A164F1B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592017F"/>
    <w:multiLevelType w:val="multilevel"/>
    <w:tmpl w:val="36D62ED0"/>
    <w:lvl w:ilvl="0">
      <w:start w:val="1"/>
      <w:numFmt w:val="decimal"/>
      <w:lvlText w:val="5.5.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6">
    <w:nsid w:val="5AB05B06"/>
    <w:multiLevelType w:val="multilevel"/>
    <w:tmpl w:val="7A2ECBEA"/>
    <w:lvl w:ilvl="0">
      <w:start w:val="1"/>
      <w:numFmt w:val="decimal"/>
      <w:lvlText w:val="7.%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C52BB5"/>
    <w:multiLevelType w:val="multilevel"/>
    <w:tmpl w:val="FB72F7B6"/>
    <w:lvl w:ilvl="0">
      <w:start w:val="1"/>
      <w:numFmt w:val="decimal"/>
      <w:lvlText w:val="6.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C859F9"/>
    <w:multiLevelType w:val="multilevel"/>
    <w:tmpl w:val="C9BCB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33C497A"/>
    <w:multiLevelType w:val="multilevel"/>
    <w:tmpl w:val="1B281CF2"/>
    <w:lvl w:ilvl="0">
      <w:start w:val="1"/>
      <w:numFmt w:val="decimal"/>
      <w:lvlText w:val="1.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9A23BD"/>
    <w:multiLevelType w:val="multilevel"/>
    <w:tmpl w:val="7D06F0CE"/>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4DA20C7"/>
    <w:multiLevelType w:val="multilevel"/>
    <w:tmpl w:val="72AA5296"/>
    <w:lvl w:ilvl="0">
      <w:start w:val="2"/>
      <w:numFmt w:val="decimal"/>
      <w:lvlText w:val="4.2.2.%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100"/>
  </w:num>
  <w:num w:numId="9">
    <w:abstractNumId w:val="92"/>
  </w:num>
  <w:num w:numId="10">
    <w:abstractNumId w:val="85"/>
  </w:num>
  <w:num w:numId="11">
    <w:abstractNumId w:val="88"/>
  </w:num>
  <w:num w:numId="12">
    <w:abstractNumId w:val="82"/>
  </w:num>
  <w:num w:numId="13">
    <w:abstractNumId w:val="86"/>
  </w:num>
  <w:num w:numId="14">
    <w:abstractNumId w:val="89"/>
  </w:num>
  <w:num w:numId="15">
    <w:abstractNumId w:val="76"/>
  </w:num>
  <w:num w:numId="16">
    <w:abstractNumId w:val="84"/>
  </w:num>
  <w:num w:numId="17">
    <w:abstractNumId w:val="101"/>
  </w:num>
  <w:num w:numId="18">
    <w:abstractNumId w:val="91"/>
  </w:num>
  <w:num w:numId="19">
    <w:abstractNumId w:val="90"/>
  </w:num>
  <w:num w:numId="20">
    <w:abstractNumId w:val="94"/>
  </w:num>
  <w:num w:numId="21">
    <w:abstractNumId w:val="87"/>
  </w:num>
  <w:num w:numId="22">
    <w:abstractNumId w:val="97"/>
  </w:num>
  <w:num w:numId="23">
    <w:abstractNumId w:val="96"/>
  </w:num>
  <w:num w:numId="24">
    <w:abstractNumId w:val="9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AFEE7-2539-45CA-A2D6-FCFF268E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2021-02-26T20:05:00Z</dcterms:created>
  <dcterms:modified xsi:type="dcterms:W3CDTF">2021-02-27T14:49:00Z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