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0B6387" w14:textId="4BA23B73" w:rsidR="00E77221" w:rsidRDefault="00AF3DB4" w:rsidP="00AF3DB4">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Попова Мария Александровна. Законодательный процесс в Парламенте Великобритании</w:t>
      </w:r>
      <w:bookmarkEnd w:id="0"/>
      <w:r>
        <w:rPr>
          <w:rFonts w:ascii="Verdana" w:hAnsi="Verdana"/>
          <w:color w:val="000000"/>
          <w:sz w:val="18"/>
          <w:szCs w:val="18"/>
          <w:shd w:val="clear" w:color="auto" w:fill="FFFFFF"/>
        </w:rPr>
        <w:t xml:space="preserve"> : диссертация ... кандидата юридических наук: 12.00.02 / Попова Мария Александровна;[Место защиты: Федеральное государственное бюджетное образовательное учреждение высшего образования «Российский государственный университет правосудия»].- Москва, 2015.- 233 с.</w:t>
      </w:r>
    </w:p>
    <w:p w14:paraId="35AD4AAC" w14:textId="77777777" w:rsidR="00AF3DB4" w:rsidRPr="00AF3DB4" w:rsidRDefault="00AF3DB4" w:rsidP="00AF3DB4">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AF3DB4">
        <w:rPr>
          <w:rFonts w:ascii="Verdana" w:eastAsia="Times New Roman" w:hAnsi="Verdana" w:cs="Times New Roman"/>
          <w:b/>
          <w:bCs/>
          <w:color w:val="AC370B"/>
          <w:kern w:val="0"/>
          <w:sz w:val="23"/>
          <w:szCs w:val="23"/>
          <w:lang w:eastAsia="ru-RU"/>
        </w:rPr>
        <w:t>Содержание к диссертации</w:t>
      </w:r>
    </w:p>
    <w:p w14:paraId="54166B3F" w14:textId="77777777" w:rsidR="00AF3DB4" w:rsidRPr="00AF3DB4" w:rsidRDefault="00AF3DB4" w:rsidP="00AF3DB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F3DB4">
        <w:rPr>
          <w:rFonts w:ascii="Verdana" w:eastAsia="Times New Roman" w:hAnsi="Verdana" w:cs="Times New Roman"/>
          <w:color w:val="000000"/>
          <w:kern w:val="0"/>
          <w:sz w:val="18"/>
          <w:szCs w:val="18"/>
          <w:lang w:eastAsia="ru-RU"/>
        </w:rPr>
        <w:t>Введение</w:t>
      </w:r>
    </w:p>
    <w:p w14:paraId="7B1D23A7" w14:textId="77777777" w:rsidR="00AF3DB4" w:rsidRPr="00AF3DB4" w:rsidRDefault="00AF3DB4" w:rsidP="00AF3DB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AF3DB4">
        <w:rPr>
          <w:rFonts w:ascii="Verdana" w:eastAsia="Times New Roman" w:hAnsi="Verdana" w:cs="Times New Roman"/>
          <w:b/>
          <w:bCs/>
          <w:color w:val="000000"/>
          <w:kern w:val="0"/>
          <w:sz w:val="18"/>
          <w:szCs w:val="18"/>
          <w:lang w:eastAsia="ru-RU"/>
        </w:rPr>
        <w:t>Глава 1. Теоретико-правовые основы законодательной деятельности Парламента Соединенного Королевства 14</w:t>
      </w:r>
    </w:p>
    <w:p w14:paraId="27EDC0B8" w14:textId="77777777" w:rsidR="00AF3DB4" w:rsidRPr="00AF3DB4" w:rsidRDefault="00AF3DB4" w:rsidP="00AF3DB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F3DB4">
        <w:rPr>
          <w:rFonts w:ascii="Verdana" w:eastAsia="Times New Roman" w:hAnsi="Verdana" w:cs="Times New Roman"/>
          <w:color w:val="000000"/>
          <w:kern w:val="0"/>
          <w:sz w:val="18"/>
          <w:szCs w:val="18"/>
          <w:lang w:eastAsia="ru-RU"/>
        </w:rPr>
        <w:t>1. Британская конституционная доктрина о суверенитете Парламента и принцип господства права 14</w:t>
      </w:r>
    </w:p>
    <w:p w14:paraId="670720D8" w14:textId="77777777" w:rsidR="00AF3DB4" w:rsidRPr="00AF3DB4" w:rsidRDefault="00AF3DB4" w:rsidP="00AF3DB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F3DB4">
        <w:rPr>
          <w:rFonts w:ascii="Verdana" w:eastAsia="Times New Roman" w:hAnsi="Verdana" w:cs="Times New Roman"/>
          <w:color w:val="000000"/>
          <w:kern w:val="0"/>
          <w:sz w:val="18"/>
          <w:szCs w:val="18"/>
          <w:lang w:eastAsia="ru-RU"/>
        </w:rPr>
        <w:t>2. Особенности реализации принципа разделения властей в Соединенном Королевстве и их влияние на законодательный процесс 36</w:t>
      </w:r>
    </w:p>
    <w:p w14:paraId="1783DBAF" w14:textId="77777777" w:rsidR="00AF3DB4" w:rsidRPr="00AF3DB4" w:rsidRDefault="00AF3DB4" w:rsidP="00AF3DB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AF3DB4">
        <w:rPr>
          <w:rFonts w:ascii="Verdana" w:eastAsia="Times New Roman" w:hAnsi="Verdana" w:cs="Times New Roman"/>
          <w:b/>
          <w:bCs/>
          <w:color w:val="000000"/>
          <w:kern w:val="0"/>
          <w:sz w:val="18"/>
          <w:szCs w:val="18"/>
          <w:lang w:eastAsia="ru-RU"/>
        </w:rPr>
        <w:t>Глава 2. Процесс создания Акта британского Парламента 67</w:t>
      </w:r>
    </w:p>
    <w:p w14:paraId="388F7A8D" w14:textId="77777777" w:rsidR="00AF3DB4" w:rsidRPr="00AF3DB4" w:rsidRDefault="00AF3DB4" w:rsidP="00AF3DB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F3DB4">
        <w:rPr>
          <w:rFonts w:ascii="Verdana" w:eastAsia="Times New Roman" w:hAnsi="Verdana" w:cs="Times New Roman"/>
          <w:color w:val="000000"/>
          <w:kern w:val="0"/>
          <w:sz w:val="18"/>
          <w:szCs w:val="18"/>
          <w:lang w:eastAsia="ru-RU"/>
        </w:rPr>
        <w:t>1. Предпарламентская разработка билля правительственными органами 67</w:t>
      </w:r>
    </w:p>
    <w:p w14:paraId="735D52FA" w14:textId="77777777" w:rsidR="00AF3DB4" w:rsidRPr="00AF3DB4" w:rsidRDefault="00AF3DB4" w:rsidP="00AF3DB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F3DB4">
        <w:rPr>
          <w:rFonts w:ascii="Verdana" w:eastAsia="Times New Roman" w:hAnsi="Verdana" w:cs="Times New Roman"/>
          <w:color w:val="000000"/>
          <w:kern w:val="0"/>
          <w:sz w:val="18"/>
          <w:szCs w:val="18"/>
          <w:lang w:eastAsia="ru-RU"/>
        </w:rPr>
        <w:t>2. Подготовка законодательных предложений Правовой комиссией 101</w:t>
      </w:r>
    </w:p>
    <w:p w14:paraId="5E454644" w14:textId="77777777" w:rsidR="00AF3DB4" w:rsidRPr="00AF3DB4" w:rsidRDefault="00AF3DB4" w:rsidP="00AF3DB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F3DB4">
        <w:rPr>
          <w:rFonts w:ascii="Verdana" w:eastAsia="Times New Roman" w:hAnsi="Verdana" w:cs="Times New Roman"/>
          <w:color w:val="000000"/>
          <w:kern w:val="0"/>
          <w:sz w:val="18"/>
          <w:szCs w:val="18"/>
          <w:lang w:eastAsia="ru-RU"/>
        </w:rPr>
        <w:t>3. Основные стадии законодательного процесса в Парламенте Соединенного Королевства 120</w:t>
      </w:r>
    </w:p>
    <w:p w14:paraId="22A58BE0" w14:textId="77777777" w:rsidR="00AF3DB4" w:rsidRPr="00AF3DB4" w:rsidRDefault="00AF3DB4" w:rsidP="00AF3DB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F3DB4">
        <w:rPr>
          <w:rFonts w:ascii="Verdana" w:eastAsia="Times New Roman" w:hAnsi="Verdana" w:cs="Times New Roman"/>
          <w:color w:val="000000"/>
          <w:kern w:val="0"/>
          <w:sz w:val="18"/>
          <w:szCs w:val="18"/>
          <w:lang w:eastAsia="ru-RU"/>
        </w:rPr>
        <w:t>Заключение 179</w:t>
      </w:r>
    </w:p>
    <w:p w14:paraId="43F3DCCD" w14:textId="77777777" w:rsidR="00AF3DB4" w:rsidRPr="00AF3DB4" w:rsidRDefault="00AF3DB4" w:rsidP="00AF3DB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F3DB4">
        <w:rPr>
          <w:rFonts w:ascii="Verdana" w:eastAsia="Times New Roman" w:hAnsi="Verdana" w:cs="Times New Roman"/>
          <w:color w:val="000000"/>
          <w:kern w:val="0"/>
          <w:sz w:val="18"/>
          <w:szCs w:val="18"/>
          <w:lang w:eastAsia="ru-RU"/>
        </w:rPr>
        <w:t>Библиографический список 184</w:t>
      </w:r>
    </w:p>
    <w:p w14:paraId="16741257" w14:textId="77777777" w:rsidR="00AF3DB4" w:rsidRDefault="00AF3DB4" w:rsidP="00AF3DB4">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7DF041C2" w14:textId="77777777" w:rsidR="00AF3DB4" w:rsidRDefault="00AF3DB4" w:rsidP="00AF3DB4">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исследования.</w:t>
      </w:r>
      <w:r>
        <w:rPr>
          <w:rStyle w:val="apple-converted-space"/>
          <w:rFonts w:ascii="Verdana" w:hAnsi="Verdana"/>
          <w:color w:val="000000"/>
          <w:sz w:val="18"/>
          <w:szCs w:val="18"/>
        </w:rPr>
        <w:t> </w:t>
      </w:r>
      <w:r>
        <w:rPr>
          <w:rFonts w:ascii="Verdana" w:hAnsi="Verdana"/>
          <w:color w:val="000000"/>
          <w:sz w:val="18"/>
          <w:szCs w:val="18"/>
        </w:rPr>
        <w:t>Британский Парламент с присущим ему бикамерализмом и многопартийностью стал образцом для законодательных ассамблей крупнейшей в мире империи. Процедуры британского законодательного процесса явились примером для парламентов всех стран мира, в том числе, и для российского.</w:t>
      </w:r>
    </w:p>
    <w:p w14:paraId="0517AB7D"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Парламент является центром политических и управленческих процессов в Соединенном Королевстве Великобритании и Северной Ирландии, главной политической трибуной в государстве. Наибольшего могущества он достиг в девятнадцатом веке и постепенно сдал свои позиции под напором возрастающего влияния Кабинета.</w:t>
      </w:r>
    </w:p>
    <w:p w14:paraId="781A7F32"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Выбор Соединенного Королевства в качестве государства, законодательный процесс в котором исследуется в настоящей работе, обусловлен следующими обстоятельствами. Во-первых, основной чертой британского законодательного процесса остается его подчиненность деятельности высшего исполнительного органа. Схожие тенденции стали отчетливо проявляться и в российском законодательном процессе. Законопроект, получивший отрицательное заключение Правительства Российской Федерации, не поддерживается депутатами уже в первом чтении. Большая часть законопроектов, составляющих приоритетную часть примерной программы законопроектной работы Государственной Думы в период сессий, инициированы высшим исполнительным органом </w:t>
      </w:r>
      <w:r>
        <w:rPr>
          <w:rFonts w:ascii="Verdana" w:hAnsi="Verdana"/>
          <w:color w:val="000000"/>
          <w:sz w:val="18"/>
          <w:szCs w:val="18"/>
        </w:rPr>
        <w:lastRenderedPageBreak/>
        <w:t>государственной власти Российской Федерации. Преимущественное количество правительственных законопроектов приобретают статус закона.</w:t>
      </w:r>
    </w:p>
    <w:p w14:paraId="2B8EA87C"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Во-вторых, в течение последних десятилетий в Вестминстере были разработаны новые меры по рационализации законодательной процедуры, которые могут быть полезны для совершенствования отечественного законодательного процесса.</w:t>
      </w:r>
    </w:p>
    <w:p w14:paraId="1AE278B0"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В-третьих, с момента опубликования большинства научных работ, посвященных различным аспектам законодательной деятельности</w:t>
      </w:r>
    </w:p>
    <w:p w14:paraId="7D3CB108"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Парламента Соединенного Королевства Великобритании и Северной Ирландии, был накоплен новый практический опыт и изменены положения конституционного законодательства, нуждающиеся в глубоком теоретическом осмыслении.</w:t>
      </w:r>
    </w:p>
    <w:p w14:paraId="1C60697C"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В этой связи всестороннее, системное изучение процесса создания акта британского Парламента представляется актуальной исследовательской задачей, решение которой будет способствовать развитию общей теории парламентаризма и парламентского права.</w:t>
      </w:r>
    </w:p>
    <w:p w14:paraId="39BB6AFA" w14:textId="77777777" w:rsidR="00AF3DB4" w:rsidRDefault="00AF3DB4" w:rsidP="00AF3DB4">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научной разработанности темы.</w:t>
      </w:r>
      <w:r>
        <w:rPr>
          <w:rStyle w:val="apple-converted-space"/>
          <w:rFonts w:ascii="Verdana" w:hAnsi="Verdana"/>
          <w:color w:val="000000"/>
          <w:sz w:val="18"/>
          <w:szCs w:val="18"/>
        </w:rPr>
        <w:t> </w:t>
      </w:r>
      <w:r>
        <w:rPr>
          <w:rFonts w:ascii="Verdana" w:hAnsi="Verdana"/>
          <w:color w:val="000000"/>
          <w:sz w:val="18"/>
          <w:szCs w:val="18"/>
        </w:rPr>
        <w:t>Важное место в современной английской юридической литературе уделено изучению принципа суверенитета Парламента, под которым понимается неограниченное правомочие Парламента по принятию своих актов. Различные подходы к пониманию парламентского суверенитета изложены в работах Т. Аллана, В. Богданора, Дж. Голдсуорси, А.В. Дайси, У. Уэйда.</w:t>
      </w:r>
    </w:p>
    <w:p w14:paraId="6603C3BF"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Среди наиболее значимых трудов, в которых исследуются особенности и проблемы законодательного процесса в Великобритании, стоит отметить работы А. Адониса «Парламент сегодня», совместную монографию Д. Гриффита, М. Райл, М. Уилер-Бут «Парламент: функции, практика и процедура», М. Зандера «Правотворческий процесс», С. Уокленда «Законодательный процесс в Великобритании».</w:t>
      </w:r>
    </w:p>
    <w:p w14:paraId="397968CE"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В 1983 году И.Ю. Богдановской была защищена близкая к теме настоящей работы диссертация «Статут в английском праве».</w:t>
      </w:r>
    </w:p>
    <w:p w14:paraId="01B66854"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В российской науке также имеются труды, посвященные различным аспектам деятельности британского Парламента. История развития британского законодательного органа рассмотрена в работах Н.А. Алексеева, И.А. Дудко, И.Г. Ковалева, М.И. Левиной, В.А. Томсинова, К.К. Худолея, В.Е. Чиркина. Изучению особенностей парламентских статутов и актов делегированного законодательства как источников английского права посвящены работы СВ. Боботова, Г.А. Есакова, Е.С. Кананыкиной, А.К. Романова, Е.Н. Тонкова, А.Ю. Якушевой.</w:t>
      </w:r>
    </w:p>
    <w:p w14:paraId="4DCD088D"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Общие теоретические проблемы законодательного процесса подняты в монографиях А.И. Абрамовой, И.В. Гранкина, Н.Н. Карпова, Д.А. Ковачева, Ю.К. Краснова, П.В. Крашенинникова, Г.Д. Садовниковой, статьях С.А. Авакьяна, Н.А. Бобровой, Т.А. Васильевой, А.Н. Кокотова, А.А. Югова и К.А. Игишева.</w:t>
      </w:r>
    </w:p>
    <w:p w14:paraId="4DCDDF3E"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Вместе с тем, до настоящего времени проблемы законодательного процесса в Парламенте Соединенного Королевства и, в том числе, современные тенденции его модернизации не являлись самостоятельным объектом исследования в отечественной науке конституционного права.</w:t>
      </w:r>
    </w:p>
    <w:p w14:paraId="6DFA2C15"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Актуальность темы диссертационного исследования, степень ее научной разработанности определили выбор объекта исследования, а также постановку его цели и задач.</w:t>
      </w:r>
    </w:p>
    <w:p w14:paraId="317A0450" w14:textId="77777777" w:rsidR="00AF3DB4" w:rsidRDefault="00AF3DB4" w:rsidP="00AF3DB4">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Объектом настоящего исследования</w:t>
      </w:r>
      <w:r>
        <w:rPr>
          <w:rStyle w:val="apple-converted-space"/>
          <w:rFonts w:ascii="Verdana" w:hAnsi="Verdana"/>
          <w:color w:val="000000"/>
          <w:sz w:val="18"/>
          <w:szCs w:val="18"/>
        </w:rPr>
        <w:t> </w:t>
      </w:r>
      <w:r>
        <w:rPr>
          <w:rFonts w:ascii="Verdana" w:hAnsi="Verdana"/>
          <w:color w:val="000000"/>
          <w:sz w:val="18"/>
          <w:szCs w:val="18"/>
        </w:rPr>
        <w:t>являются правовые отношения, возникающие в сфере конституционно-правового регулирования и реализации британской доктрины верховенства Парламента и современного британского законодательного процесса.</w:t>
      </w:r>
    </w:p>
    <w:p w14:paraId="31042D15" w14:textId="77777777" w:rsidR="00AF3DB4" w:rsidRDefault="00AF3DB4" w:rsidP="00AF3DB4">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Предметом исследования</w:t>
      </w:r>
      <w:r>
        <w:rPr>
          <w:rStyle w:val="apple-converted-space"/>
          <w:rFonts w:ascii="Verdana" w:hAnsi="Verdana"/>
          <w:color w:val="000000"/>
          <w:sz w:val="18"/>
          <w:szCs w:val="18"/>
        </w:rPr>
        <w:t> </w:t>
      </w:r>
      <w:r>
        <w:rPr>
          <w:rFonts w:ascii="Verdana" w:hAnsi="Verdana"/>
          <w:color w:val="000000"/>
          <w:sz w:val="18"/>
          <w:szCs w:val="18"/>
        </w:rPr>
        <w:t>выступают внутригосударственные нормативные акты, конституционные соглашения, регулирующие конституционно-правовой статус британского Парламента и законодательный процесс в нем, нормы международного права, судебная практика международных и национальных судов Соединенного Королевства, исследования отечественных и английских учёных.</w:t>
      </w:r>
    </w:p>
    <w:p w14:paraId="08424511" w14:textId="77777777" w:rsidR="00AF3DB4" w:rsidRDefault="00AF3DB4" w:rsidP="00AF3DB4">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Цель настоящего исследования</w:t>
      </w:r>
      <w:r>
        <w:rPr>
          <w:rStyle w:val="apple-converted-space"/>
          <w:rFonts w:ascii="Verdana" w:hAnsi="Verdana"/>
          <w:color w:val="000000"/>
          <w:sz w:val="18"/>
          <w:szCs w:val="18"/>
        </w:rPr>
        <w:t> </w:t>
      </w:r>
      <w:r>
        <w:rPr>
          <w:rFonts w:ascii="Verdana" w:hAnsi="Verdana"/>
          <w:color w:val="000000"/>
          <w:sz w:val="18"/>
          <w:szCs w:val="18"/>
        </w:rPr>
        <w:t>состоит в раскрытии теоретических и конституционно-правовых аспектов британского законодательного процесса, выявлении характерных особенностей его эволюции на рубеже XX-XXI вв.</w:t>
      </w:r>
    </w:p>
    <w:p w14:paraId="716046C2"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Реализация поставленной цели потребовала решения следующих</w:t>
      </w:r>
      <w:r>
        <w:rPr>
          <w:rStyle w:val="apple-converted-space"/>
          <w:rFonts w:ascii="Verdana" w:hAnsi="Verdana"/>
          <w:color w:val="000000"/>
          <w:sz w:val="18"/>
          <w:szCs w:val="18"/>
        </w:rPr>
        <w:t> </w:t>
      </w:r>
      <w:r>
        <w:rPr>
          <w:rStyle w:val="af2"/>
          <w:rFonts w:ascii="Verdana" w:hAnsi="Verdana"/>
          <w:color w:val="000000"/>
          <w:sz w:val="18"/>
          <w:szCs w:val="18"/>
        </w:rPr>
        <w:t>задач:</w:t>
      </w:r>
    </w:p>
    <w:p w14:paraId="1587796A"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-рассмотреть британскую конституционную доктрину парламентского суверенитета и связанный с ней принцип господства права;</w:t>
      </w:r>
    </w:p>
    <w:p w14:paraId="09499195"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 изучить особенности реализации принципа разделения властей в Соединенном Королевстве и их влияние на законодательный процесс;</w:t>
      </w:r>
    </w:p>
    <w:p w14:paraId="6662ABD6"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проанализировать направления деятельности и результаты работы английской Правовой комиссии, которая активно участвует в законотворческом процессе;</w:t>
      </w:r>
    </w:p>
    <w:p w14:paraId="72671F1C"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исследовать основные этапы процесса создания Акта британского Парламента - предварительную разработку билля Правительством и непосредственно парламентский законодательный процесс.</w:t>
      </w:r>
    </w:p>
    <w:p w14:paraId="7921645D" w14:textId="77777777" w:rsidR="00AF3DB4" w:rsidRDefault="00AF3DB4" w:rsidP="00AF3DB4">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Методологические основы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В работе над поставленной целью автором были использованы общенаучные (анализ, синтез, индукция, дедукция, обобщение, сравнение, аналогия, описание, классификация, объяснение) и частнонаучные (формально-юридический, историко-правовой, сравнительно-правовой) методы научного познания.</w:t>
      </w:r>
    </w:p>
    <w:p w14:paraId="111432E8" w14:textId="77777777" w:rsidR="00AF3DB4" w:rsidRDefault="00AF3DB4" w:rsidP="00AF3DB4">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 основа исследования</w:t>
      </w:r>
      <w:r>
        <w:rPr>
          <w:rStyle w:val="apple-converted-space"/>
          <w:rFonts w:ascii="Verdana" w:hAnsi="Verdana"/>
          <w:color w:val="000000"/>
          <w:sz w:val="18"/>
          <w:szCs w:val="18"/>
        </w:rPr>
        <w:t> </w:t>
      </w:r>
      <w:r>
        <w:rPr>
          <w:rFonts w:ascii="Verdana" w:hAnsi="Verdana"/>
          <w:color w:val="000000"/>
          <w:sz w:val="18"/>
          <w:szCs w:val="18"/>
        </w:rPr>
        <w:t>базируется на трудах отечественных и зарубежных ученых.</w:t>
      </w:r>
    </w:p>
    <w:p w14:paraId="4EF1B025"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Теоретическую основу диссертационного исследования составили труды отечественных ученых, специалистов в области конституционного права, а также теории государства и права: С.А. Авакьяна, С.С. Алексеева, Л.В. Андриченко, М.В. Баглая, Н.С. Бондаря, А.В. Васильева, Н.В. Витрука, Н.Н. Вопленко, Г.А. Гаджиева, С.Н. Глотова, В.В. Ершова, В.Д. Зорькина, Т.Д. Зражевской, В.Т. Кабышева, Е.И. Козловой, Н.М. Колосовой, О.Е. Кутафина, В.А. Кряжкова, В.В. Лазарева, Л.В. Лазарева, В.О. Лучина, М.Н. Марченко, Т.Г. Морщаковой, B.C. Нерсесянца, А.С. Пиголкина, Т.М. Пряхиной, В.Е. Сафонова, Ю.А. Тихомирова, И.А. Умновой (Конюховой), Т.Я. Хабриевой, В.Е. Чиркина, Ю.Л. Шульженко, Б.С. Эбзеева и др.</w:t>
      </w:r>
    </w:p>
    <w:p w14:paraId="28FF4852"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Среди классиков английской правовой мысли были изучены труды У. Беджгота, И. Бентама, А. Дайси, А. Дженнинга, С. Илберта, С. Лоу, Д. Макинтоша; а также современных иностранных авторов Д. Бедермана, Т. Бингхэма, В. Богданора, П. Бромхэда, Д. Гриффита, Д. Джаджа, Э. Дженкса, А. Джиллиспье, Д. Дрейри, П. Лейланда, М. Лэнга, Р. Мастермана, П. Нортона, М. Раша, П. Силка, С. Эдгара, М. Эллиота и других.</w:t>
      </w:r>
    </w:p>
    <w:p w14:paraId="64863333"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Важное значение для поднимаемых в исследовании проблем имеют работы отечественных правоведов, посвященные особенностям английских источников права и, в целом, англо-саксонской правовой системы: О.А. Аксенович, И.С. Арефиной, И.Ю. Богдановской, Е.А. Петровой, И.В. Самылова, Е.Н. Тонкова и других.</w:t>
      </w:r>
    </w:p>
    <w:p w14:paraId="0B671B53"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Изучение законодательного процесса в Парламенте Соединенного Королевства невозможно в отрыве от рассмотрения общих вопросов британского парламентаризма. В исследовании природы парламентаризма и особенностей законодательного процесса автор, в том числе, опирался на выводы, сделанные дореволюционными, советскими и современными российскими учеными, проводившими специальные исследования в сфере парламентаризма: А.С. Автономовым, И.А. Алебастровой, П.А. Астафичевым, Н.А. Бобровой, О.Н. Булаковым, И.В. Гранкиным, И.А. Дудко, Д.А. Керимовым, Н.С. Крыловой, А.И. Лукьяновым, П.Г. Мижуевым, М.А. Митюковым, А.А. Мишиным, Н.А. Михалевой, Г.Д. Садовниковой, А.Ф. Смирновым, В. И. Фадеевым и другими.</w:t>
      </w:r>
    </w:p>
    <w:p w14:paraId="0D8FF2EE" w14:textId="77777777" w:rsidR="00AF3DB4" w:rsidRDefault="00AF3DB4" w:rsidP="00AF3DB4">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Эмпирическая основа исследования</w:t>
      </w:r>
      <w:r>
        <w:rPr>
          <w:rStyle w:val="apple-converted-space"/>
          <w:rFonts w:ascii="Verdana" w:hAnsi="Verdana"/>
          <w:color w:val="000000"/>
          <w:sz w:val="18"/>
          <w:szCs w:val="18"/>
        </w:rPr>
        <w:t> </w:t>
      </w:r>
      <w:r>
        <w:rPr>
          <w:rFonts w:ascii="Verdana" w:hAnsi="Verdana"/>
          <w:color w:val="000000"/>
          <w:sz w:val="18"/>
          <w:szCs w:val="18"/>
        </w:rPr>
        <w:t>представлена результатами изучения 73 британских парламентских статутов и актов делегированного законодательства; регламентов Парламента Соединенного Королевства, Национальной Ассамблеи Уэльса, Парламента Шотландии, Ассамблеи Северной Ирландии; 7 отчетов комитетов палат британского Парламента; 3 докладов английской Правовой комиссии; 16 судебных решений международных и высших национальных судов Соединенного Королевства.</w:t>
      </w:r>
    </w:p>
    <w:p w14:paraId="66675BA4" w14:textId="77777777" w:rsidR="00AF3DB4" w:rsidRDefault="00AF3DB4" w:rsidP="00AF3DB4">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 исследования</w:t>
      </w:r>
      <w:r>
        <w:rPr>
          <w:rStyle w:val="apple-converted-space"/>
          <w:rFonts w:ascii="Verdana" w:hAnsi="Verdana"/>
          <w:color w:val="000000"/>
          <w:sz w:val="18"/>
          <w:szCs w:val="18"/>
        </w:rPr>
        <w:t> </w:t>
      </w:r>
      <w:r>
        <w:rPr>
          <w:rFonts w:ascii="Verdana" w:hAnsi="Verdana"/>
          <w:color w:val="000000"/>
          <w:sz w:val="18"/>
          <w:szCs w:val="18"/>
        </w:rPr>
        <w:t>состоит в конституционно-правовом обосновании британского законодательного процесса в контексте реализации доктрины верховенства Парламента и с учетом его реформирования в современный период.</w:t>
      </w:r>
    </w:p>
    <w:p w14:paraId="263391D9"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настоящей работе определены особенности реализации британской модели разделения властей и ее влияние на законодательный процесс; выявлены исторические обстоятельства и причины, обусловившие тенденции</w:t>
      </w:r>
    </w:p>
    <w:p w14:paraId="236F018F"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развития британского законодательного процесса; проведен анализ реформы системы парламентских комитетов в части оказанного ею воздействия на совершенствование законодательной процедуры.</w:t>
      </w:r>
      <w:r>
        <w:rPr>
          <w:rStyle w:val="apple-converted-space"/>
          <w:rFonts w:ascii="Verdana" w:hAnsi="Verdana"/>
          <w:color w:val="000000"/>
          <w:sz w:val="18"/>
          <w:szCs w:val="18"/>
        </w:rPr>
        <w:t> </w:t>
      </w:r>
      <w:r>
        <w:rPr>
          <w:rStyle w:val="af2"/>
          <w:rFonts w:ascii="Verdana" w:hAnsi="Verdana"/>
          <w:color w:val="000000"/>
          <w:sz w:val="18"/>
          <w:szCs w:val="18"/>
        </w:rPr>
        <w:t>Положения, выносимые на защиту:</w:t>
      </w:r>
    </w:p>
    <w:p w14:paraId="749B889D" w14:textId="77777777" w:rsidR="00AF3DB4" w:rsidRDefault="00AF3DB4" w:rsidP="00525F3D">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Автором обосновано, что, несмотря на события последнего времени, в том числе вступление Соединенного Королевства в Европейский Союз, проведение деволюции, создание Верховного суда Соединенного Королевства, британский Парламент по-прежнему законодательствует в соответствии с основными положениями доктрины парламентского верховенства: Парламент принимает свои акты по широкому кругу вопросов, его статуты обладают высшей юридической силой, обязательны для исполнения и не могут быть отменены иными органами государственной власти.</w:t>
      </w:r>
    </w:p>
    <w:p w14:paraId="0DD4DBAF" w14:textId="77777777" w:rsidR="00AF3DB4" w:rsidRDefault="00AF3DB4" w:rsidP="00525F3D">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Выделены стадии предпарламентской разработки билля, к которым можно отнести: 1) направление министерством соответствующей заявки в Комитет по парламентским делам и законодательству; 2) получение законопроектом места в законодательной программе; 3) формирование рабочей группы; 4) направление инструкций Отделу парламентского советника; 5) подготовка текста законопроекта и сопроводительных документов; 6) публикация проекта билля; 7) проведение предварительного законодательного надзора; 8) получение согласия Комитета по парламентским делам и законодательству на внесение билля.</w:t>
      </w:r>
    </w:p>
    <w:p w14:paraId="39FC8ABD"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3. Обозначены основные новации британского законодательного</w:t>
      </w:r>
      <w:r>
        <w:rPr>
          <w:rFonts w:ascii="Verdana" w:hAnsi="Verdana"/>
          <w:color w:val="000000"/>
          <w:sz w:val="18"/>
          <w:szCs w:val="18"/>
        </w:rPr>
        <w:br/>
        <w:t>процесса, указывающие на его демократичность и открытость:</w:t>
      </w:r>
      <w:r>
        <w:rPr>
          <w:rFonts w:ascii="Verdana" w:hAnsi="Verdana"/>
          <w:color w:val="000000"/>
          <w:sz w:val="18"/>
          <w:szCs w:val="18"/>
        </w:rPr>
        <w:br/>
        <w:t>реформирование системы парламентских комитетов; введение практики</w:t>
      </w:r>
      <w:r>
        <w:rPr>
          <w:rFonts w:ascii="Verdana" w:hAnsi="Verdana"/>
          <w:color w:val="000000"/>
          <w:sz w:val="18"/>
          <w:szCs w:val="18"/>
        </w:rPr>
        <w:br/>
        <w:t>публикации законопроектов до дня их официального внесения в Парламент,</w:t>
      </w:r>
      <w:r>
        <w:rPr>
          <w:rFonts w:ascii="Verdana" w:hAnsi="Verdana"/>
          <w:color w:val="000000"/>
          <w:sz w:val="18"/>
          <w:szCs w:val="18"/>
        </w:rPr>
        <w:br/>
        <w:t>что послужило основанием для предварительного рассмотрения</w:t>
      </w:r>
      <w:r>
        <w:rPr>
          <w:rFonts w:ascii="Verdana" w:hAnsi="Verdana"/>
          <w:color w:val="000000"/>
          <w:sz w:val="18"/>
          <w:szCs w:val="18"/>
        </w:rPr>
        <w:br/>
        <w:t>представителями общественности и членами Парламента указанных биллей;</w:t>
      </w:r>
      <w:r>
        <w:rPr>
          <w:rFonts w:ascii="Verdana" w:hAnsi="Verdana"/>
          <w:color w:val="000000"/>
          <w:sz w:val="18"/>
          <w:szCs w:val="18"/>
        </w:rPr>
        <w:br/>
        <w:t>установление практики «программирования» правительственных</w:t>
      </w:r>
      <w:r>
        <w:rPr>
          <w:rFonts w:ascii="Verdana" w:hAnsi="Verdana"/>
          <w:color w:val="000000"/>
          <w:sz w:val="18"/>
          <w:szCs w:val="18"/>
        </w:rPr>
        <w:br/>
        <w:t>законопроектов; установление возможности переноса рассмотрения</w:t>
      </w:r>
    </w:p>
    <w:p w14:paraId="2863370C"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публичных биллей из одной парламентской сессии в другую; введение практики осуществления последующего законодательного надзора в отношении важных политических Актов Парламента.</w:t>
      </w:r>
    </w:p>
    <w:p w14:paraId="01439EA8"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4. Изучение роли британского Правительства в законодательном</w:t>
      </w:r>
      <w:r>
        <w:rPr>
          <w:rFonts w:ascii="Verdana" w:hAnsi="Verdana"/>
          <w:color w:val="000000"/>
          <w:sz w:val="18"/>
          <w:szCs w:val="18"/>
        </w:rPr>
        <w:br/>
        <w:t>процессе дало основание определить, что оно по-прежнему остается</w:t>
      </w:r>
      <w:r>
        <w:rPr>
          <w:rFonts w:ascii="Verdana" w:hAnsi="Verdana"/>
          <w:color w:val="000000"/>
          <w:sz w:val="18"/>
          <w:szCs w:val="18"/>
        </w:rPr>
        <w:br/>
        <w:t>ведущим и независимым субъектом законодательного процесса. В</w:t>
      </w:r>
      <w:r>
        <w:rPr>
          <w:rFonts w:ascii="Verdana" w:hAnsi="Verdana"/>
          <w:color w:val="000000"/>
          <w:sz w:val="18"/>
          <w:szCs w:val="18"/>
        </w:rPr>
        <w:br/>
        <w:t>подтверждение данного утверждения автором приводятся следующие</w:t>
      </w:r>
      <w:r>
        <w:rPr>
          <w:rFonts w:ascii="Verdana" w:hAnsi="Verdana"/>
          <w:color w:val="000000"/>
          <w:sz w:val="18"/>
          <w:szCs w:val="18"/>
        </w:rPr>
        <w:br/>
        <w:t>аргументы:</w:t>
      </w:r>
    </w:p>
    <w:p w14:paraId="1A2A3799"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а) Правительство в одностороннем порядке определяет, в какую палату</w:t>
      </w:r>
      <w:r>
        <w:rPr>
          <w:rFonts w:ascii="Verdana" w:hAnsi="Verdana"/>
          <w:color w:val="000000"/>
          <w:sz w:val="18"/>
          <w:szCs w:val="18"/>
        </w:rPr>
        <w:br/>
        <w:t>внести свой законопроект, а также тип комитета, в котором он будет</w:t>
      </w:r>
      <w:r>
        <w:rPr>
          <w:rFonts w:ascii="Verdana" w:hAnsi="Verdana"/>
          <w:color w:val="000000"/>
          <w:sz w:val="18"/>
          <w:szCs w:val="18"/>
        </w:rPr>
        <w:br/>
        <w:t>рассматриваться;</w:t>
      </w:r>
    </w:p>
    <w:p w14:paraId="60A3B4A2"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б) Правительство посредством так называемого «программирования»</w:t>
      </w:r>
      <w:r>
        <w:rPr>
          <w:rFonts w:ascii="Verdana" w:hAnsi="Verdana"/>
          <w:color w:val="000000"/>
          <w:sz w:val="18"/>
          <w:szCs w:val="18"/>
        </w:rPr>
        <w:br/>
        <w:t>устанавливает сроки, в течение которых должны быть рассмотрены его</w:t>
      </w:r>
      <w:r>
        <w:rPr>
          <w:rFonts w:ascii="Verdana" w:hAnsi="Verdana"/>
          <w:color w:val="000000"/>
          <w:sz w:val="18"/>
          <w:szCs w:val="18"/>
        </w:rPr>
        <w:br/>
        <w:t>билли;</w:t>
      </w:r>
    </w:p>
    <w:p w14:paraId="03559E35"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в) Благодаря поддержке членов правящей партии Правительству удается</w:t>
      </w:r>
      <w:r>
        <w:rPr>
          <w:rFonts w:ascii="Verdana" w:hAnsi="Verdana"/>
          <w:color w:val="000000"/>
          <w:sz w:val="18"/>
          <w:szCs w:val="18"/>
        </w:rPr>
        <w:br/>
        <w:t>провести через Парламент подавляющее большинство своих инициатив;</w:t>
      </w:r>
    </w:p>
    <w:p w14:paraId="06A30FE7"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г) Правительство оказывает значительное влияние на судьбу биллей</w:t>
      </w:r>
      <w:r>
        <w:rPr>
          <w:rFonts w:ascii="Verdana" w:hAnsi="Verdana"/>
          <w:color w:val="000000"/>
          <w:sz w:val="18"/>
          <w:szCs w:val="18"/>
        </w:rPr>
        <w:br/>
        <w:t>рядовых членов Парламента. С одной стороны, оно может предложить</w:t>
      </w:r>
      <w:r>
        <w:rPr>
          <w:rFonts w:ascii="Verdana" w:hAnsi="Verdana"/>
          <w:color w:val="000000"/>
          <w:sz w:val="18"/>
          <w:szCs w:val="18"/>
        </w:rPr>
        <w:br/>
        <w:t>заднескамеечнику внести от своего имени законопроект, разработанный</w:t>
      </w:r>
      <w:r>
        <w:rPr>
          <w:rFonts w:ascii="Verdana" w:hAnsi="Verdana"/>
          <w:color w:val="000000"/>
          <w:sz w:val="18"/>
          <w:szCs w:val="18"/>
        </w:rPr>
        <w:br/>
        <w:t>правительственными органами и по тем или иным причинам не попавший в</w:t>
      </w:r>
      <w:r>
        <w:rPr>
          <w:rFonts w:ascii="Verdana" w:hAnsi="Verdana"/>
          <w:color w:val="000000"/>
          <w:sz w:val="18"/>
          <w:szCs w:val="18"/>
        </w:rPr>
        <w:br/>
        <w:t>законодательную программу на сессию. С другой стороны, именно</w:t>
      </w:r>
      <w:r>
        <w:rPr>
          <w:rFonts w:ascii="Verdana" w:hAnsi="Verdana"/>
          <w:color w:val="000000"/>
          <w:sz w:val="18"/>
          <w:szCs w:val="18"/>
        </w:rPr>
        <w:br/>
        <w:t>Правительство определяет, как будет голосовать партия большинства по</w:t>
      </w:r>
      <w:r>
        <w:rPr>
          <w:rFonts w:ascii="Verdana" w:hAnsi="Verdana"/>
          <w:color w:val="000000"/>
          <w:sz w:val="18"/>
          <w:szCs w:val="18"/>
        </w:rPr>
        <w:br/>
        <w:t>биллям заднескамеечников.</w:t>
      </w:r>
    </w:p>
    <w:p w14:paraId="38A5D0AF"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5. Обосновано, что в настоящее время Правительство занимает</w:t>
      </w:r>
      <w:r>
        <w:rPr>
          <w:rFonts w:ascii="Verdana" w:hAnsi="Verdana"/>
          <w:color w:val="000000"/>
          <w:sz w:val="18"/>
          <w:szCs w:val="18"/>
        </w:rPr>
        <w:br/>
        <w:t>доминирующее положение не только в законодательном, но и в ином</w:t>
      </w:r>
      <w:r>
        <w:rPr>
          <w:rFonts w:ascii="Verdana" w:hAnsi="Verdana"/>
          <w:color w:val="000000"/>
          <w:sz w:val="18"/>
          <w:szCs w:val="18"/>
        </w:rPr>
        <w:br/>
        <w:t>правотворческом процессе. Акты делегированного законодательства,</w:t>
      </w:r>
      <w:r>
        <w:rPr>
          <w:rFonts w:ascii="Verdana" w:hAnsi="Verdana"/>
          <w:color w:val="000000"/>
          <w:sz w:val="18"/>
          <w:szCs w:val="18"/>
        </w:rPr>
        <w:br/>
        <w:t>принимаемые исполнительными органами, значительно превышают по</w:t>
      </w:r>
      <w:r>
        <w:rPr>
          <w:rFonts w:ascii="Verdana" w:hAnsi="Verdana"/>
          <w:color w:val="000000"/>
          <w:sz w:val="18"/>
          <w:szCs w:val="18"/>
        </w:rPr>
        <w:br/>
        <w:t>количеству и по объему парламентские статуты. Некоторые приказы</w:t>
      </w:r>
      <w:r>
        <w:rPr>
          <w:rFonts w:ascii="Verdana" w:hAnsi="Verdana"/>
          <w:color w:val="000000"/>
          <w:sz w:val="18"/>
          <w:szCs w:val="18"/>
        </w:rPr>
        <w:br/>
        <w:t>министров могут не только изменять, но и отменять положения актов</w:t>
      </w:r>
      <w:r>
        <w:rPr>
          <w:rFonts w:ascii="Verdana" w:hAnsi="Verdana"/>
          <w:color w:val="000000"/>
          <w:sz w:val="18"/>
          <w:szCs w:val="18"/>
        </w:rPr>
        <w:br/>
        <w:t>британского Парламента. Подобная монополизация органами</w:t>
      </w:r>
    </w:p>
    <w:p w14:paraId="4C439327"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исполнительной власти процесса правотворчества в большей степени негативно воспринимается многими британскими общественными деятелями и учеными.</w:t>
      </w:r>
    </w:p>
    <w:p w14:paraId="5771273E" w14:textId="77777777" w:rsidR="00AF3DB4" w:rsidRDefault="00AF3DB4" w:rsidP="00525F3D">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Определено, что основными задачами реформирования британского законодательного процесса являются усиление роли рядовых членов Парламента и обеспечение независимости деятельности законодательного органа от влияния Кабинета. Поскольку реализация подобных реформ невыгодна Правительству, оно противодействует их воплощению.</w:t>
      </w:r>
    </w:p>
    <w:p w14:paraId="2AFB5AD4" w14:textId="77777777" w:rsidR="00AF3DB4" w:rsidRDefault="00AF3DB4" w:rsidP="00525F3D">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Выявлено, что законодательные процедуры Вестминстера были переняты региональными законодательными органами, образованными в результате деволюции. Вместе с тем, наблюдается и обратный процесс: новации законодательного процесса в Национальной Ассамблее Уэльса, Шотландском Парламенте и Ассамблее Северной Ирландии предлагаются для имплементации в британском Парламенте.</w:t>
      </w:r>
    </w:p>
    <w:p w14:paraId="07D840AD"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К схожим чертам британского законодательного процесса и законодательных процедур в региональных парламентах относятся: классификация биллей на публичные, частные и гибридные; различный порядок рассмотрения каждой категории биллей; установление примерных сроков между стадиями законодательного процесса. Среди имеющихся важных отличий стоит выделить: количество и наименование стадий законодательного процесса, круг субъектов законодательной инициативы, возможность пересмотра принятого билля.</w:t>
      </w:r>
    </w:p>
    <w:p w14:paraId="0E35CF2B"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8. Имеющийся опыт Великобритании по совершенствованию</w:t>
      </w:r>
      <w:r>
        <w:rPr>
          <w:rFonts w:ascii="Verdana" w:hAnsi="Verdana"/>
          <w:color w:val="000000"/>
          <w:sz w:val="18"/>
          <w:szCs w:val="18"/>
        </w:rPr>
        <w:br/>
        <w:t>законодательной процедуры при определенной адаптации может быть</w:t>
      </w:r>
      <w:r>
        <w:rPr>
          <w:rFonts w:ascii="Verdana" w:hAnsi="Verdana"/>
          <w:color w:val="000000"/>
          <w:sz w:val="18"/>
          <w:szCs w:val="18"/>
        </w:rPr>
        <w:br/>
        <w:t>использован и в России. Среди мер, оказавших положительное влияние на</w:t>
      </w:r>
      <w:r>
        <w:rPr>
          <w:rFonts w:ascii="Verdana" w:hAnsi="Verdana"/>
          <w:color w:val="000000"/>
          <w:sz w:val="18"/>
          <w:szCs w:val="18"/>
        </w:rPr>
        <w:br/>
        <w:t>развитие британского законодательного процесса, прежде всего возможно</w:t>
      </w:r>
      <w:r>
        <w:rPr>
          <w:rFonts w:ascii="Verdana" w:hAnsi="Verdana"/>
          <w:color w:val="000000"/>
          <w:sz w:val="18"/>
          <w:szCs w:val="18"/>
        </w:rPr>
        <w:br/>
        <w:t>отметить регулярное использование публичных чтений (аналога</w:t>
      </w:r>
      <w:r>
        <w:rPr>
          <w:rFonts w:ascii="Verdana" w:hAnsi="Verdana"/>
          <w:color w:val="000000"/>
          <w:sz w:val="18"/>
          <w:szCs w:val="18"/>
        </w:rPr>
        <w:br/>
        <w:t>отечественного всенародного обсуждения законопроектов), обновление</w:t>
      </w:r>
      <w:r>
        <w:rPr>
          <w:rFonts w:ascii="Verdana" w:hAnsi="Verdana"/>
          <w:color w:val="000000"/>
          <w:sz w:val="18"/>
          <w:szCs w:val="18"/>
        </w:rPr>
        <w:br/>
        <w:t>текста пояснительных записок на ключевых стадиях законодательного</w:t>
      </w:r>
    </w:p>
    <w:p w14:paraId="41595F71"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процесса, проверку эффективности принятого закона путем процедуры последующего законодательного надзора.</w:t>
      </w:r>
    </w:p>
    <w:p w14:paraId="1CAF3C15" w14:textId="77777777" w:rsidR="00AF3DB4" w:rsidRDefault="00AF3DB4" w:rsidP="00AF3DB4">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Теоретическая значимость исследования</w:t>
      </w:r>
      <w:r>
        <w:rPr>
          <w:rStyle w:val="apple-converted-space"/>
          <w:rFonts w:ascii="Verdana" w:hAnsi="Verdana"/>
          <w:color w:val="000000"/>
          <w:sz w:val="18"/>
          <w:szCs w:val="18"/>
        </w:rPr>
        <w:t> </w:t>
      </w:r>
      <w:r>
        <w:rPr>
          <w:rFonts w:ascii="Verdana" w:hAnsi="Verdana"/>
          <w:color w:val="000000"/>
          <w:sz w:val="18"/>
          <w:szCs w:val="18"/>
        </w:rPr>
        <w:t>состоит во всестороннем изучении процесса создания Акта Парламента, основных новаций британского законодательного процесса, определении тенденций его дальнейшего реформирования.</w:t>
      </w:r>
    </w:p>
    <w:p w14:paraId="09A0B6CB" w14:textId="77777777" w:rsidR="00AF3DB4" w:rsidRDefault="00AF3DB4" w:rsidP="00AF3DB4">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Практическое значение</w:t>
      </w:r>
      <w:r>
        <w:rPr>
          <w:rStyle w:val="apple-converted-space"/>
          <w:rFonts w:ascii="Verdana" w:hAnsi="Verdana"/>
          <w:color w:val="000000"/>
          <w:sz w:val="18"/>
          <w:szCs w:val="18"/>
        </w:rPr>
        <w:t> </w:t>
      </w:r>
      <w:r>
        <w:rPr>
          <w:rFonts w:ascii="Verdana" w:hAnsi="Verdana"/>
          <w:color w:val="000000"/>
          <w:sz w:val="18"/>
          <w:szCs w:val="18"/>
        </w:rPr>
        <w:t>работы заключается в том, что выводы и положения, содержащиеся в диссертации, могут быть использованы в последующих научных исследованиях, посвященных проблемам законодательного процесса и конституционным реформам в Соединенном Королевстве, статусу комитетов и палат британского Парламента, развитию английского законодательства.</w:t>
      </w:r>
    </w:p>
    <w:p w14:paraId="75912FF5"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Опыт реформирования парламентских процедур в Соединенном Королевстве может быть полезен при внесении изменений в регламентные нормы Государственной Думы и Совета Федерации Федерального Собрания Российской Федерации.</w:t>
      </w:r>
    </w:p>
    <w:p w14:paraId="5DE9BC45"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Изложенные в диссертационном исследовании материалы могут быть использованы в преподавании юридических дисциплин («Истории государства и права зарубежных стран», «Конституционного права зарубежных стран» и иных).</w:t>
      </w:r>
    </w:p>
    <w:p w14:paraId="6AE87D0E" w14:textId="77777777" w:rsidR="00AF3DB4" w:rsidRDefault="00AF3DB4" w:rsidP="00AF3DB4">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Апробация результатов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проводилась посредством выступлений с докладами на российских и международных научно-практических конференциях, публикации научных работ.</w:t>
      </w:r>
    </w:p>
    <w:p w14:paraId="741261B1"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Основные положения и результаты исследования обсуждались на</w:t>
      </w:r>
      <w:r>
        <w:rPr>
          <w:rFonts w:ascii="Verdana" w:hAnsi="Verdana"/>
          <w:color w:val="000000"/>
          <w:sz w:val="18"/>
          <w:szCs w:val="18"/>
        </w:rPr>
        <w:br/>
        <w:t>Всеукраинской ежегодной научно-практической конференции</w:t>
      </w:r>
    </w:p>
    <w:p w14:paraId="003ABAD1"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«Государственное строительство и правотворчество в период реформ: вопросы теории и практики» (Киев, 2012); Международной студенческо-аспирантской научной конференции «Актуальные проблемы прав человека, государства и правовой системы» (Львов, 2012); III Международной научно-практической конференции молодых ученых и студентов «2020: Молодые</w:t>
      </w:r>
    </w:p>
    <w:p w14:paraId="681D8C9C"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смотрят в будущее» (Таллин, 2012); 1-й Международной научно-практической конференции «Право и политика: теоретические и практические проблемы» (Рязань, 2012); III, IV научно-практической конференции аспирантов, соискателей и молодых ученых «Общетеоретические и отраслевые проблемы российского правосудия» (Москва, 2012, 2013); V Всероссийской научно-практической конференции аспирантов, соискателей и молодых ученых на тему «Конкретизация права: проблемы теории и практики» (Москва, 2014); на заседании Школы молодых ученых на тему «Конституция как конституционная ценность и конституционные ценности» в Российском государственном университете правосудия (Москва, 2014).</w:t>
      </w:r>
    </w:p>
    <w:p w14:paraId="50A82EB7" w14:textId="77777777" w:rsidR="00AF3DB4" w:rsidRDefault="00AF3DB4" w:rsidP="00AF3DB4">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исследования</w:t>
      </w:r>
      <w:r>
        <w:rPr>
          <w:rStyle w:val="apple-converted-space"/>
          <w:rFonts w:ascii="Verdana" w:hAnsi="Verdana"/>
          <w:color w:val="000000"/>
          <w:sz w:val="18"/>
          <w:szCs w:val="18"/>
        </w:rPr>
        <w:t> </w:t>
      </w:r>
      <w:r>
        <w:rPr>
          <w:rFonts w:ascii="Verdana" w:hAnsi="Verdana"/>
          <w:color w:val="000000"/>
          <w:sz w:val="18"/>
          <w:szCs w:val="18"/>
        </w:rPr>
        <w:t>обусловлена целью и задачами исследования. Работа состоит из введения, двух глав, включающих пять параграфов, заключения, библиографического списка использованной литературы и приложений.</w:t>
      </w:r>
    </w:p>
    <w:p w14:paraId="5F14F5E0" w14:textId="77777777" w:rsidR="00AF3DB4" w:rsidRDefault="00AF3DB4" w:rsidP="00AF3DB4">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 xml:space="preserve">Британская конституционная доктрина о суверенитете Парламента и </w:t>
      </w:r>
      <w:r>
        <w:rPr>
          <w:rFonts w:ascii="Verdana" w:hAnsi="Verdana"/>
          <w:color w:val="AC370B"/>
          <w:sz w:val="23"/>
          <w:szCs w:val="23"/>
        </w:rPr>
        <w:lastRenderedPageBreak/>
        <w:t>принцип господства права</w:t>
      </w:r>
    </w:p>
    <w:p w14:paraId="42297295"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Великий мыслитель XVI века Жан Бодэн давал определение суверенитету как «высшей и свободной от законов власти над гражданами и подданными, которая не может быть ограничена ни вышестоящей властью, ни законами, ни временем, власти неотчуждаемой, неизменной и не подлежащей давности»1.</w:t>
      </w:r>
    </w:p>
    <w:p w14:paraId="4B1DA0A9"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Если для монархистов Ж. Бодена или Т. Гоббса сувереном мог быть любой высший государственной орган, то для У. Блэкстона сувереном являлся английский триединый Парламент, чью власть по созданию законов он описывал как «абсолютную», «деспотичную» и «бесконтрольную»2.</w:t>
      </w:r>
    </w:p>
    <w:p w14:paraId="4AA947C3"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Автором традиционного или ортодоксального подхода в теории суверенитета Парламента считается английский конституционалист Альберт Вэнн Дайси, который под термином «парламентский суверенитет» понимал ничем не ограниченное всемогущество Парламента в принятии своих актов. При описании своей теории А. Дайси использовал понятия «суверенитет» и «верховенство» как синонимичные, хотя, как отмечает В.А. Томсинов, они таковыми не являются . По этим же причинам, по мнению профессоров А. Брэдли и Т. Аллана, более корректным теорию парламентского суверенитета называть доктриной законодательного верховенства или хотя бы верховенства Парламента. Все же суверенитет в настоящее время является понятием международного права, говорить о суверенитете конкретного органа государственной власти не представляется возможным. Если продолжать подобную полемику, то получится, что суверенитетом обладает Правительство, поскольку осуществляет свою деятельность от имени суверена.</w:t>
      </w:r>
    </w:p>
    <w:p w14:paraId="5B32F1E8"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Принцип парламентского верховенства, по А. Дайси, означает, что английский парламент имеет право издавать и отменять любые законы. Вместе с тем, нет ли лица, ни органа, которым законом было бы предоставлено право преступать или не повиноваться законодательным актам Парламента. Парламент абсолютно неограничен во время своего правления и может законодательствовать по любым вопросам и в отношении любой территории. В качестве примера этого утверждения обычно приводят слова А. Дженнингса о том, что Парламент Соединенного Королевства может признать незаконным курение на улицах Парижа. Безусловно, эта норма ничего не будет значить для французских полицейских и судов. Но если дело о курении на улицах Парижа будет рассматриваться английским судом, то он будет руководствоваться соответствующим актом Парламента и признает данное деяние правонарушением.</w:t>
      </w:r>
    </w:p>
    <w:p w14:paraId="4C774AF7"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А. Дайси отмечал, что действующий в настоящее время Парламент не связан волей своих предшественников и может отменить или изменить любой акт, даже если в нем напрямую будет предусмотрено положение о невозможности отмены. Акты, принятые Парламентом, имеют высшую силу и не могут быть признаны недействительными никаким внутренним или внешним органом власти.</w:t>
      </w:r>
    </w:p>
    <w:p w14:paraId="1783BEF9"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При этом, акты и решения, издаваемые одной из частей триады «Корона-в-Парламенте», не обладают высшей юридической силой и могут быть обжалованы в суде. Самым ярким примером </w:t>
      </w:r>
      <w:r>
        <w:rPr>
          <w:rFonts w:ascii="Verdana" w:hAnsi="Verdana"/>
          <w:color w:val="000000"/>
          <w:sz w:val="18"/>
          <w:szCs w:val="18"/>
        </w:rPr>
        <w:lastRenderedPageBreak/>
        <w:t>реализации данного положения на практике является дело Стокдейл против Ханзарда (Stockdale v Hansard 1839).</w:t>
      </w:r>
    </w:p>
    <w:p w14:paraId="344216BF"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Во время одного из обходов пенитенциарного учреждения Ньюгейта инспекторы нашли у одного из заключенных книгу Джона Робертона «Заболевания половых систем», издателем которой являлся достаточно</w:t>
      </w:r>
    </w:p>
    <w:p w14:paraId="666F7161"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огдановская И.Ю. Категория «правовая норма» в правовой доктрине стран «общего права» // Журнал российского права. 2006. № 11. С. 67. известный порнограф Д.Д. Стокдейл. В 1836 году парламентская газета Ханзард по распоряжению Палаты общин опубликовала доклад о том, что указанная неприличная книга распространяется в Ньюгейте. Ситуация получила широкую огласку, и Стокдейл решил подать в суд за клевету. Истец не отрицал, что он являлся издателем книги, но был против ее признания непристойной, поскольку она являлась всего лишь медицинским трудом. Ответчик указал, что действовал по распоряжению нижней палаты и, соответственно, защищался парламентской привилегией. Суд во главе с лордом Дэномом постановил, что только Корона -в - Парламенте может принимать и отменять законы. Распоряжения, инструкции и прочие внутренние документы любой из Палат не обладают нормативной силой закона, и ни одна из Палат не обладает правом публиковать клеветнические материалы1.</w:t>
      </w:r>
    </w:p>
    <w:p w14:paraId="5C5D87D4"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Эта же позиция была подтверждена в деле Боуэлс против Банка Англии (Bowles v Bank of England [1913] 1 с. 57). Судом было установлено, что Банк не имел права вычитать налог на прибыль с дивидендов, причитающихся истцу, только на основании бюджетной резолюции Палаты общин. В соответствии с Биллем о правах «взимание сборов в пользу и в распоряжение короны... без согласия парламента или за более долгое время или иным порядком, чем установлено парламентом, незаконно», а Палата общин, как уже подчеркивалось, не является Парламентом в юридическом смысле этого слова.</w:t>
      </w:r>
    </w:p>
    <w:p w14:paraId="0B30B7F2"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К тому же, Парламент имеет право придавать своим актам обратную силу и легализовать совершенное ранее преступление или правонарушение. На протяжении своего существования Парламент Соединенного Королевства подобным правом неоднократно пользовался2.</w:t>
      </w:r>
    </w:p>
    <w:p w14:paraId="670D6FEA"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Толчок к развитию доктрины неограниченного верховенства Парламента дала во многом Славная революция 1688г. Длительное противостояние католиков и протестантов вызвало необходимость в установлении положения, лишающего действующих законов божественной природы и придающего им светский характер. Провозглашение верховенства Парламента отнюдь не преследовало цель склонить чашу весов от норм общего права в пользу статутов, а было призвано ограничить власть Короны.</w:t>
      </w:r>
    </w:p>
    <w:p w14:paraId="098B5C45" w14:textId="77777777" w:rsidR="00AF3DB4" w:rsidRDefault="00AF3DB4" w:rsidP="00AF3DB4">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Особенности реализации принципа разделения властей в Соединенном Королевстве и их влияние на законодательный процесс</w:t>
      </w:r>
    </w:p>
    <w:p w14:paraId="425F8AFF"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 предложению Ассамблеи в 1969 году был учрежден Генеральный Синод, которому было передано большое количество законодательных и иных полномочий самой Ассамблеи и конвокаций </w:t>
      </w:r>
      <w:r>
        <w:rPr>
          <w:rFonts w:ascii="Verdana" w:hAnsi="Verdana"/>
          <w:color w:val="000000"/>
          <w:sz w:val="18"/>
          <w:szCs w:val="18"/>
        </w:rPr>
        <w:lastRenderedPageBreak/>
        <w:t>(ассамблей духовенства) Йоркской и Кентерберийской. Генеральный Синод Церкви Англии состоит из трех палат: епископов, духовенства и мирян. Законодательная комиссия Генерального Синода состоит из членов всех трех палат. Она уполномочена разрабатывать связанные с работой духовенства каноны, которые не рассматриваются Парламентом. Каноны представляются Королеве через государственного секретаря.</w:t>
      </w:r>
    </w:p>
    <w:p w14:paraId="666440DC"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В 2012 году внимание общественности было привлечено к разработке церковного законодательства о рукоположении женщин в епископы. Для принятия данной меры должны были положительно проголосовать две трети делегатов Генерального Синода, но в отличие от епископов и духовенства большинство мирян высказались против рукоположения женщин.</w:t>
      </w:r>
    </w:p>
    <w:p w14:paraId="2F192B2A"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К актам вторичного законодательства относятся также постановления местных органов власти (byelaws). Они издаются в соответствии со статьей 236 Акта о местном самоуправлении 1972 года «для хорошего управления всего района или его части, а также предупреждения или пресечения в них неприятностей»2. Среди Актов Парламента, которыми органы местного самоуправления были наделены полномочиями на издание определенных постановлений, помимо упомянутого Акта 1972 года, можно назвать Акт о доступе к морской и прибрежной зоне 2009 года, Акт о водном хозяйстве 1991 года, Акт об автомобильных дорогах 1980 года и т.д. (дата обращения -12.02.2014). Постановления регулируют очень узкие сферы жизни и не могут противоречить не только иным актам национального законодательства, но и, в целом, проводимой государством политике. Постановлениями местных органов регулируются, к примеру, порядок катания на скейтбордах, альпинизм, выпас скота, кемпинг, рыбалка, вопросы предотвращения пожаров и т.д. В том числе, такими постановлениями может устанавливаться уголовное наказание за нарушение предусмотренных ими норм. Подобные дела рассматриваются магистратскими судами.</w:t>
      </w:r>
    </w:p>
    <w:p w14:paraId="7399ABAB"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настоящее время постановления местных органов власти не могут вступить в силу до тех пор, пока не будут утверждены соответствующим министерством Правительства. После разработки текст постановления должен быть опубликован для ознакомления в местной газете. Лица, имеющие возражения или предложения к постановлению, могут направить их в Правительство. После получения текста постановления министерство принимает решение об утверждении постановления и определяет дату его вступления в силу.</w:t>
      </w:r>
    </w:p>
    <w:p w14:paraId="695BAEE9"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До всеобщих выборов 2001 года полномочие утверждения постановлений местных органов принадлежало министерству внутренних дел, затем оно было передано министерству транспорта, местного самоуправления и регионов. С 2006 года и по настоящее время утверждением данных постановлений занимается министерство по делам местного самоуправления.</w:t>
      </w:r>
    </w:p>
    <w:p w14:paraId="7D522125"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Согласно манифесту коалиции консерваторов и либерал-демократов было поддержано предложение о том, что советы муниципалитетов должны использовать данный вид делегированного законодательства для улучшения общественного здоровья, к примеру, путем установления минимальных цен на алкоголь.</w:t>
      </w:r>
    </w:p>
    <w:p w14:paraId="52CE75FC"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Стоит также отметить, что по предметам своего регулирования постановления местных органов очень схожи с частными статутами, принимаемыми Парламентом для регулирования статуса </w:t>
      </w:r>
      <w:r>
        <w:rPr>
          <w:rFonts w:ascii="Verdana" w:hAnsi="Verdana"/>
          <w:color w:val="000000"/>
          <w:sz w:val="18"/>
          <w:szCs w:val="18"/>
        </w:rPr>
        <w:lastRenderedPageBreak/>
        <w:t>и полномочий определенных муниципальных образований, так называемых local private acts. Отдельную дискуссию вызывает характер актов, принимаемых деволюционными органами.</w:t>
      </w:r>
    </w:p>
    <w:p w14:paraId="559133F7"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Несмотря на то, что почти во всех источниках можно встретить формулировку, что Парламент Соединенного Королевства в силу своего верховенства именно «делегировал» законодательные полномочия Национальной Ассамблее Уэльса, Ассамблее Северной Ирландии и Шотландскому Парламенту, в науке принято считать, что региональные законодательные органы принимают акты первичного законодательства и, в свою очередь, наделяют исполнительные органы правом издания подчиненного законодательства1.</w:t>
      </w:r>
    </w:p>
    <w:p w14:paraId="3E836864"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стоит отметить, что сразу после деволюции Национальная Ассамблея Уэльса имела полномочие на принятие актов подчиненного законодательства. Правотворческие полномочия данного законодательного органа сначала были расширены Актом об управлении Уэльсом 2006 года, а затем и проведенным в Уэльсе референдумом в марте 2011 года. Отвечая на вопрос «хотите ли вы, чтобы Ассамблея имела право принимать законы по всем вопросам, входящим в ее предметы ведения? », 63,5% участников референдума проголосовали положительно.</w:t>
      </w:r>
    </w:p>
    <w:p w14:paraId="5248A01D" w14:textId="77777777" w:rsidR="00AF3DB4" w:rsidRDefault="00AF3DB4" w:rsidP="00AF3DB4">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Подготовка законодательных предложений Правовой комиссией</w:t>
      </w:r>
    </w:p>
    <w:p w14:paraId="473365EE"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Работа Правовой комиссии организована по трем основным направлениям. Первое направление - это кодификация законодательства. Экс-председатель Правовой комиссии Д.М. Арден характеризовал кодификацию как «процесс, завершающийся созданием кодекса, т.е. акта, который может служить основным источником права в определенной области1».</w:t>
      </w:r>
    </w:p>
    <w:p w14:paraId="19DA3CCC"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В монографии «Кодификация в Британской империи и Америке» М.Ю. Лэнгом достаточно подробно анализируются трудности процесса восприятия английской правовой системой самой идеи кодификации и отмечается, что еще в 1549 году Палата общин предложила Палате лордов совместно подготовить кодекс, содержащий одновременно нормы статутного и общего права. По мнению данного автора, наибольший вклад в движение по кодификации сложного английского права был внесен И. Бентамом. В 1823 году им был опубликован труд «Предложения кодификации», а в 1829 году - Петиция за кодификацию, которая не набрала необходимого количества сторонников и по этой причине не была внесена в Палату общин. По словам И. Бентама, английское статутное и общее право находились в столь хаотичном состоянии, что не только обыватель, но и профессиональный юрист не мог зачастую в них разобраться. И единственным логичным выходом из подобной ситуации представлялась кодификация2.</w:t>
      </w:r>
    </w:p>
    <w:p w14:paraId="645B0FB6"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Среди других сторонников идеи кодификации стоит назвать Д. Остина, Ф. Поллока, Т.Е. Холланда, Ш. Амоса.</w:t>
      </w:r>
    </w:p>
    <w:p w14:paraId="14769C66"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Сложность процесса кодификации обуславливается необходимостью качественной переработки не только статутного права, но и системы прецедентов и норм права справедливости, относящихся к затрагиваемому вопросу . Желание английских драфтсменов добиться того результата, когда статут будет до мельчайших подробностей регулировать очерченные им правоотношения, также не упрощает процесс кодификации.</w:t>
      </w:r>
    </w:p>
    <w:p w14:paraId="255AC262"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По сравнению с иными странами общего права, в том числе и с Великобританией, кодификация получила наибольшее распространение в Соединенных Штатах Америки. В США действует целый ряд отраслевых кодексов, в том числе процессуальных, но и они отличаются во многом от привычных для нас кодификаций, характерных для континентальной системы права1.</w:t>
      </w:r>
    </w:p>
    <w:p w14:paraId="25DFEE76"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настоящее время большое внимание уделяется упрощению уголовного законодательства, поскольку именно оно относится к наиболее развитым областям английского права в связи с тем, что в основном регулируется статутными нормами.</w:t>
      </w:r>
    </w:p>
    <w:p w14:paraId="1ACBFBF0"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Первая попытка систематизировать английское уголовное право, основанное на столь значительном количестве источников, была предпринята в 1833 году. Уильям IV уполномочил королевскую комиссию, в состав которой вошли У. Уайтхолл, Д. Остин и Э. Амос, подготовить проект уголовного кодекса. После направления восьми докладов о проделанной работе и смены своего состава, комиссия в 1843 году, наконец, представила первый проект .</w:t>
      </w:r>
    </w:p>
    <w:p w14:paraId="1E8CDC37"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В 1877 году сэр Джеймс Фицджеймс Стифен опубликовал свой знаменитый труд «Дигесты уголовного права» («Digests of criminal law»), который оказал сильное впечатление на государственных мужей Англии. Д. Стифен отмечал, что «английское уголовное право, основанное на здравом смысле, складывающейся годами судебной практике и доктрине, имеет один существенный недостаток - отсутствие системы. При наличии кодификации английская система имеет все шансы стать совершенной»3. Впоследствии ему и другим членам специальной королевской комиссии Правительством было поручено разработать новый проект уголовного кодекса, работа над которым была уже завершена уже в 1878 году. Указанный проект точнее и детальнее регулировал отношения, складывающиеся в уголовно-правовой сфере, чем все его предшественники, но и ему не было суждено стать одобренным Парламентом. Рассмотрение билля, внесенного Генеральным Атторнеем, постоянно затягивалось на стадии комитета, в него вносились многочисленные поправки, и спустя несколько лет он попросту был снят с обсуждения.</w:t>
      </w:r>
    </w:p>
    <w:p w14:paraId="1CE8DC09"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Но значительная работа составителей данного проекта не пропала даром, стифеновский проект уголовного кодекса стал основой соответствующих кодификаций различных государств общего права, в том числе Канады \</w:t>
      </w:r>
    </w:p>
    <w:p w14:paraId="2C4E05A2"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После «провала» принятия уголовного кодекса в конце девятнадцатого века, процесс систематизации английского уголовного права был приостановлен почти на сто лет, до тех пор, пока несколько ученых под руководством профессора Дж. Смита и под покровительством Правовой комиссии не приступили к разработке нового проекта уголовного кодекса. Данный проект был опубликован в 1985 году и уже несколько десятилетий ждет своего принятия2.</w:t>
      </w:r>
    </w:p>
    <w:p w14:paraId="483AF2D0"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Фактором, который в определенной мере может повлиять на решение Правительства все же провести через Парламент проект уголовного кодекса Правовой комиссии, некоторые ученые в свое время называли требования Римской конвенции и соответственно Акта о правах человека 1998 года. Статья 7 Конвенции предусматривает, что никто не может быть осужден за совершение какого-либо деяния или за бездействие, которое согласно действовавшему в момент его совершения национальному или международному праву не являлось уголовным преступлением. Рассматривая </w:t>
      </w:r>
      <w:r>
        <w:rPr>
          <w:rFonts w:ascii="Verdana" w:hAnsi="Verdana"/>
          <w:color w:val="000000"/>
          <w:sz w:val="18"/>
          <w:szCs w:val="18"/>
        </w:rPr>
        <w:lastRenderedPageBreak/>
        <w:t>дело Уэлч против Соединенного Королевства, ЕСПЧ подчеркнул, что уголовный закон должен быть максимально точно определен. В настоящее же время английское уголовное законодательство не удовлетворяет данному требованию1.</w:t>
      </w:r>
    </w:p>
    <w:p w14:paraId="18820309"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Но прошло уже более пятнадцати лет, как Римская конвенция была имплементирована в национальное законодательство, а дело так и не сдвинулось с мертвой точки. Поскольку проект, подготовленный в 1985 году, частично устарел, до принятия Правительством волевого решения по кодификации Правовая комиссия продолжает работу по упрощению отдельных сфер уголовного права. Помимо проектов, которые будут рассмотрены в дальнейшем, члены Правовой комиссии широко обсуждают возможность упрощения таких видов преступлений, как измена, похищение и нарушение общественного порядка.</w:t>
      </w:r>
    </w:p>
    <w:p w14:paraId="4EBB3235"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Вторым направлением работы Правовой комиссии является консолидация законов.</w:t>
      </w:r>
    </w:p>
    <w:p w14:paraId="7E81EF18"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В российском восприятии консолидация является такой формой систематизации, при которой «несколько нормативных актов объединяются в новый нормативный акт без внутренней переработки и восполнения пробелов» . Иначе дело обстоит в английском праве, в котором существует два типа консолидации: «чистая» (простое объединение) и «широкая» (с внесением в объединяемые положения соответствующих изменений) .</w:t>
      </w:r>
    </w:p>
    <w:p w14:paraId="59BE75BC"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Для регламентации «широкой консолидации» в 1949 году был принят соответствующий Акт о процедуре консолидации4. Важная роль в подготовке консолидирующих актов отводится лорду-канцлеру, поскольку ему предоставлено право подготавливать новые законодательные предложения.</w:t>
      </w:r>
    </w:p>
    <w:p w14:paraId="7AB79D9C" w14:textId="77777777" w:rsidR="00AF3DB4" w:rsidRDefault="00AF3DB4" w:rsidP="00AF3DB4">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Основные стадии законодательного процесса в Парламенте Соединенного Королевства</w:t>
      </w:r>
    </w:p>
    <w:p w14:paraId="71267496"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можно заметить, первые постоянные комитеты Палаты общин были учреждены по отраслевому принципу. Затем от него по каким-то причинам отказались, и постоянные комитеты стали создаваться для рассмотрения конкретного билля и обозначаться буквами алфавита, к примеру, постоянный комитета В, F, G.</w:t>
      </w:r>
    </w:p>
    <w:p w14:paraId="6B5395B3"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Реформы А. Д. Бальфура по изменению процедуры в Палате общин 1906-1907гг., установившие порядок организации постоянных комитетов, действующий вплоть до 2006 года, предусмотрели две категории членов комитета: большинство, избираемое согласно расстановке политических сил в палате и в соответствии с личными качествами парламентариев, и меньшинство, состоящее из отдельных членов, в количестве до 15 членов. В 1919 году количество членов постоянных комитетов было сокращено с 80 до 40, а в 1945 году - до 20. Именно тогда комитеты получили название «постоянных», поскольку имели значительное число постоянных членов. Согласно иной, менее распространенной позиции, такое наименование комитеты получили из-за того факта, что их члены были обязаны выступать именно стоя. Профессор Гриффит определял термин «постоянные комитеты» как анахронизм, указывая, что в силу специфики комитетов их следует именовать «дискуссионными» (debating committees)1.</w:t>
      </w:r>
    </w:p>
    <w:p w14:paraId="00A2F3EF"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 течением времени различие между большинством и меньшинством в комитете становилось все более несущественным, так как политические соображения потребовали, чтобы главным критерием членства являлась приверженность к той или иной парламентской партии. Окончательно такое различие было отменено лишь в 1960 году в качестве попытки преодолеть трудности, испытываемые при формировании комитетов.</w:t>
      </w:r>
    </w:p>
    <w:p w14:paraId="0674CDB4"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В 1947 году в состав постоянных комитетов стали назначаться партийные кнуты, что, по мнению английских конституционалистов, привело к «окончанию относительной независимости комитетов от партийной борьбы в Палате»1. В процессе своей эволюции состав комитетов уменьшился и стал более профессиональным, а число самих комитетов увеличилось. До 2006 года чаще всего каждую сессию образовывалось порядком десяти постоянных комитетов.</w:t>
      </w:r>
    </w:p>
    <w:p w14:paraId="4A041682"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Долгое время система постоянных комитетов рассматривалась исследователями как «Ахиллесова пята законодательной процедуры», поскольку рассмотрение билля на комитетской стадии затрачивало большое количество парламентского времени2. К тому же, члены постоянного комитета при изучении билля должны были полностью полагаться на свое мнение, в отличие от своих коллег в специальных комитетах они не могли заслушивать заинтересованные стороны и получать иную необходимую информацию.</w:t>
      </w:r>
    </w:p>
    <w:p w14:paraId="19E04D55"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В середине двадцатого века обсуждалось достаточно большое количество предложений, которые, по замыслу их авторов, могли решить проблему низкой эффективности работы постоянных комитетов. Но, по каким-то причинам, все они сводились к изменению количества комитетов или их членов3.</w:t>
      </w:r>
    </w:p>
    <w:p w14:paraId="4D0370C6"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Предложения объединить достоинства детального изучения биллей и исследования экспертных заключений впервые были озвучены в 1970-х гг. Профессор Гриффит в своей работе «Парламентское рассмотрение правительственных биллей» предложил новый «формат» стадии комитета в законодательном процессе. Указанная стадия распадалась на 2 этапа: первый состоял в получении свидетельских показаний, второй - в традиционном детальном изучении билля4.</w:t>
      </w:r>
    </w:p>
    <w:p w14:paraId="180A2CEE"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Подобные предложения были учтены Правительством, которое в то время искало пути усовершенствования рассмотрения законопроектов. В 1980 году на экспериментальной основе были учреждены специальные постоянные комитеты (Special Standing Committees), обладающие правом трижды за время сессии получать свидетельские показания. Специальные постоянные комитеты были самостоятельны в определении экспертов, которых, по их мнению, стоило опросить1.</w:t>
      </w:r>
    </w:p>
    <w:p w14:paraId="596A677F"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За двухлетний период проведения подобного эксперимента только 5 биллей подлежали рассмотрению в специальных постоянных комитетах. Практика использования специальных постоянных комитетов была оценена достаточно позитивно, временным нормам Регламента Парламента, регулирующим их деятельность, был даже придан статус постоянных. Но с 1983 г. по 1994 г. экспериментальные комитеты не рассмотрели ни одного законопроекта.</w:t>
      </w:r>
    </w:p>
    <w:p w14:paraId="62116673"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7 сентября 2006 года был опубликован доклад Комитета по модернизации «Законодательный процесс». Как это было отмечено в самом докладе, его основной целью было </w:t>
      </w:r>
      <w:r>
        <w:rPr>
          <w:rFonts w:ascii="Verdana" w:hAnsi="Verdana"/>
          <w:color w:val="000000"/>
          <w:sz w:val="18"/>
          <w:szCs w:val="18"/>
        </w:rPr>
        <w:lastRenderedPageBreak/>
        <w:t>сделать стадию постатейного изучения законопроекта максимально эффективной. Во-первых, для достижения указанной цели предполагалось создать все условия для того, чтобы члены комитетов обладали всей доступной и объективной информацией, касающейся рассматриваемого ими законопроекта. Во-вторых, было решено увеличить степень участия и влияния заинтересованных лиц на рассмотрение парламентом конкретных законопроектов. Законодательный процесс, по мнению Комитета по модернизации, должен был стать открытым и прозрачным настолько, насколько это в принципе возможно.</w:t>
      </w:r>
    </w:p>
    <w:p w14:paraId="50943885"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Спустя два месяца после своего опубликования доклад Комитета по модернизации стал предметом обсуждения Палаты общин. Большинство сформулированных в докладе предложений были приняты Палатой и воплощены в действительности. Система постоянных комитетов была заменена системой комитетов по рассмотрению публичных биллей (Public Bill Committees). Комитеты по рассмотрению публичных биллей по аналогии со специальными комитетами были наделены полномочиями по получению устных и письменных свидетельских показаний, документов, доказательств и иной информации, необходимой для тщательного изучения законопроектов. Но также как и в прежних постоянных комитетах, в комитетах по рассмотрению публичных биллей в настоящее время отсутствует постоянное членство. Количество членов может варьироваться от 16 до 50 человек, но нормой считается наличие в Комитете 17 парламентариев. Комитеты по рассмотрению публичных биллей могут образовывать подкомитеты.</w:t>
      </w:r>
    </w:p>
    <w:p w14:paraId="614931FD" w14:textId="77777777" w:rsidR="00AF3DB4" w:rsidRDefault="00AF3DB4" w:rsidP="00AF3DB4">
      <w:pPr>
        <w:pStyle w:val="afffffffffffffffffffffffffff6"/>
        <w:shd w:val="clear" w:color="auto" w:fill="FFFFFF"/>
        <w:rPr>
          <w:rFonts w:ascii="Verdana" w:hAnsi="Verdana"/>
          <w:color w:val="000000"/>
          <w:sz w:val="18"/>
          <w:szCs w:val="18"/>
        </w:rPr>
      </w:pPr>
      <w:r>
        <w:rPr>
          <w:rFonts w:ascii="Verdana" w:hAnsi="Verdana"/>
          <w:color w:val="000000"/>
          <w:sz w:val="18"/>
          <w:szCs w:val="18"/>
        </w:rPr>
        <w:t>Комитеты по рассмотрению публичных биллей относятся, в свою очередь, к общим комитетам (General Committees). Общими комитетами Палаты общин также являются: Большой Комитет по делам Шотландии (the Scottish Grand Committee), Большой Комитета по делам Уэльса (the Welsh Grand Committee), Большой Комитет по делам Северной Ирландии (the Northern Ireland Grand Committee), Комитет по региональной политике (the Regional Affairs Committee), Комитеты по делегированному законодательству (Delegated Legislation Committees), Комитеты по делам Евросоюза (the European Committees), комитеты второго чтения (Second Reading Committees)</w:t>
      </w:r>
    </w:p>
    <w:p w14:paraId="29CF7598" w14:textId="77777777" w:rsidR="00AF3DB4" w:rsidRPr="00AF3DB4" w:rsidRDefault="00AF3DB4" w:rsidP="00AF3DB4"/>
    <w:sectPr w:rsidR="00AF3DB4" w:rsidRPr="00AF3DB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2578FE" w14:textId="77777777" w:rsidR="00525F3D" w:rsidRDefault="00525F3D">
      <w:pPr>
        <w:spacing w:after="0" w:line="240" w:lineRule="auto"/>
      </w:pPr>
      <w:r>
        <w:separator/>
      </w:r>
    </w:p>
  </w:endnote>
  <w:endnote w:type="continuationSeparator" w:id="0">
    <w:p w14:paraId="61AC399E" w14:textId="77777777" w:rsidR="00525F3D" w:rsidRDefault="00525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E6843" w14:textId="77777777" w:rsidR="00525F3D" w:rsidRDefault="00525F3D">
      <w:pPr>
        <w:spacing w:after="0" w:line="240" w:lineRule="auto"/>
      </w:pPr>
      <w:r>
        <w:separator/>
      </w:r>
    </w:p>
  </w:footnote>
  <w:footnote w:type="continuationSeparator" w:id="0">
    <w:p w14:paraId="1EA2B105" w14:textId="77777777" w:rsidR="00525F3D" w:rsidRDefault="00525F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09E425A1"/>
    <w:multiLevelType w:val="multilevel"/>
    <w:tmpl w:val="9738C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1511CA6"/>
    <w:multiLevelType w:val="multilevel"/>
    <w:tmpl w:val="A78899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7"/>
  </w:num>
  <w:num w:numId="7">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22ED"/>
    <w:rsid w:val="000324E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A13"/>
    <w:rsid w:val="00525BE6"/>
    <w:rsid w:val="00525C2E"/>
    <w:rsid w:val="00525C90"/>
    <w:rsid w:val="00525F3D"/>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541"/>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523"/>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733"/>
    <w:rsid w:val="009F5AA2"/>
    <w:rsid w:val="009F5B44"/>
    <w:rsid w:val="009F6763"/>
    <w:rsid w:val="009F69C4"/>
    <w:rsid w:val="009F7424"/>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B73"/>
    <w:rsid w:val="00A8503B"/>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5FC"/>
    <w:rsid w:val="00AE576A"/>
    <w:rsid w:val="00AE57F9"/>
    <w:rsid w:val="00AE5C23"/>
    <w:rsid w:val="00AE5CAA"/>
    <w:rsid w:val="00AE5F7F"/>
    <w:rsid w:val="00AE6026"/>
    <w:rsid w:val="00AE602B"/>
    <w:rsid w:val="00AE62AC"/>
    <w:rsid w:val="00AE6328"/>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6185"/>
    <w:rsid w:val="00C461E0"/>
    <w:rsid w:val="00C46556"/>
    <w:rsid w:val="00C46A14"/>
    <w:rsid w:val="00C46E55"/>
    <w:rsid w:val="00C47737"/>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C0E"/>
    <w:rsid w:val="00CF1C98"/>
    <w:rsid w:val="00CF20EB"/>
    <w:rsid w:val="00CF2149"/>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30D99"/>
    <w:rsid w:val="00D30FC0"/>
    <w:rsid w:val="00D310F0"/>
    <w:rsid w:val="00D311B9"/>
    <w:rsid w:val="00D31236"/>
    <w:rsid w:val="00D31703"/>
    <w:rsid w:val="00D31E94"/>
    <w:rsid w:val="00D3228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2668"/>
    <w:rsid w:val="00E231EA"/>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29807</TotalTime>
  <Pages>15</Pages>
  <Words>6169</Words>
  <Characters>35168</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41255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5710</cp:revision>
  <cp:lastPrinted>2009-02-06T05:36:00Z</cp:lastPrinted>
  <dcterms:created xsi:type="dcterms:W3CDTF">2016-09-19T15:12:00Z</dcterms:created>
  <dcterms:modified xsi:type="dcterms:W3CDTF">2017-02-18T08:18:00Z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