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7920" w14:textId="68DDDA29" w:rsidR="0032085A" w:rsidRDefault="00E45CCB" w:rsidP="00E45CCB">
      <w:pPr>
        <w:rPr>
          <w:rFonts w:ascii="Verdana" w:hAnsi="Verdana"/>
          <w:b/>
          <w:bCs/>
          <w:color w:val="000000"/>
          <w:shd w:val="clear" w:color="auto" w:fill="FFFFFF"/>
        </w:rPr>
      </w:pPr>
      <w:r>
        <w:rPr>
          <w:rFonts w:ascii="Verdana" w:hAnsi="Verdana"/>
          <w:b/>
          <w:bCs/>
          <w:color w:val="000000"/>
          <w:shd w:val="clear" w:color="auto" w:fill="FFFFFF"/>
        </w:rPr>
        <w:t>Стрижова Оксана Петрівна. Удосконалення методу проектування конструкцій жіночих шитих головних уборів з текстильних матеріалів : Дис... канд. техн. наук: 05.19.04 / Хмельницький національний ун-т. — Хмельницький, 2007. — 249с. — Бібліогр.: арк. 160-173.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5CCB" w:rsidRPr="00E45CCB" w14:paraId="1DF978EC" w14:textId="77777777" w:rsidTr="00E45C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5CCB" w:rsidRPr="00E45CCB" w14:paraId="19FFDFB6" w14:textId="77777777">
              <w:trPr>
                <w:tblCellSpacing w:w="0" w:type="dxa"/>
              </w:trPr>
              <w:tc>
                <w:tcPr>
                  <w:tcW w:w="0" w:type="auto"/>
                  <w:vAlign w:val="center"/>
                  <w:hideMark/>
                </w:tcPr>
                <w:p w14:paraId="5EC7C87A" w14:textId="77777777" w:rsidR="00E45CCB" w:rsidRPr="00E45CCB" w:rsidRDefault="00E45CCB" w:rsidP="00E45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b/>
                      <w:bCs/>
                      <w:sz w:val="24"/>
                      <w:szCs w:val="24"/>
                    </w:rPr>
                    <w:lastRenderedPageBreak/>
                    <w:t>Стрижова О.П. Удосконалення методу проектування конструкцій жіночих шитих головних уборів з текстильних матеріалів. – Рукопис.</w:t>
                  </w:r>
                </w:p>
                <w:p w14:paraId="3162C7B0" w14:textId="77777777" w:rsidR="00E45CCB" w:rsidRPr="00E45CCB" w:rsidRDefault="00E45CCB" w:rsidP="00E45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05.19.04 – технологія швейних виробів. – Хмельницький національний університет, Хмельницький, 2007 р.</w:t>
                  </w:r>
                </w:p>
                <w:p w14:paraId="35937CD6" w14:textId="77777777" w:rsidR="00E45CCB" w:rsidRPr="00E45CCB" w:rsidRDefault="00E45CCB" w:rsidP="00E45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В дисертації розглянуті питання проектування жіночих шитих головних уборів з високим рівнем антропометричної відповідності антропоморфним ознакам голови. Розроблено інформаційну базу та метод автоматизованої оцінки антропометричної відповідності шитих головних уборів, який відрізняється тим, що за допомогою методу скінчених елементів вперше дозволяє визначити рівень балансу форм і співрозмірності об’єктів імітаційної геометричної моделі системи “голова-головний убір” за критерієм “тиск виробу на поверхню голови” з врахуванням властивостей матеріалів.</w:t>
                  </w:r>
                </w:p>
                <w:p w14:paraId="7628E5AC" w14:textId="77777777" w:rsidR="00E45CCB" w:rsidRPr="00E45CCB" w:rsidRDefault="00E45CCB" w:rsidP="00E45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Експериментально визначені оптимальні за критерієм “тиск виробу на поверхню голови” формоутворюючі параметри головних уборів та конструктивна прибавка на вільне облягання (як мінімально необхідна фізіолого-гігієнічна прибавка), що забезпечує високий рівень антропометричної відповідності цих виробів та дозволяє удосконалити метод проектування їх конструкцій та збільшити ефективність всього процесу проектування. Ефективність розробленої інформаційної бази та запропонованих рекомендацій підтверджено практично впровадженням у виробництво.</w:t>
                  </w:r>
                </w:p>
              </w:tc>
            </w:tr>
          </w:tbl>
          <w:p w14:paraId="08361613" w14:textId="77777777" w:rsidR="00E45CCB" w:rsidRPr="00E45CCB" w:rsidRDefault="00E45CCB" w:rsidP="00E45CCB">
            <w:pPr>
              <w:spacing w:after="0" w:line="240" w:lineRule="auto"/>
              <w:rPr>
                <w:rFonts w:ascii="Times New Roman" w:eastAsia="Times New Roman" w:hAnsi="Times New Roman" w:cs="Times New Roman"/>
                <w:sz w:val="24"/>
                <w:szCs w:val="24"/>
              </w:rPr>
            </w:pPr>
          </w:p>
        </w:tc>
      </w:tr>
      <w:tr w:rsidR="00E45CCB" w:rsidRPr="00E45CCB" w14:paraId="6E575D82" w14:textId="77777777" w:rsidTr="00E45C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5CCB" w:rsidRPr="00E45CCB" w14:paraId="69FFA300" w14:textId="77777777">
              <w:trPr>
                <w:tblCellSpacing w:w="0" w:type="dxa"/>
              </w:trPr>
              <w:tc>
                <w:tcPr>
                  <w:tcW w:w="0" w:type="auto"/>
                  <w:vAlign w:val="center"/>
                  <w:hideMark/>
                </w:tcPr>
                <w:p w14:paraId="06A0BB0C" w14:textId="77777777" w:rsidR="00E45CCB" w:rsidRPr="00E45CCB" w:rsidRDefault="00E45CCB" w:rsidP="007E3B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На основі теоретичних та експериментальних досліджень удосконалено метод проектування конструкцій жіночих шитих головних уборів та розроблено метод автоматизованої оцінки антропометричної відповідності цих виробів з врахуванням властивостей матеріалів, що призвело до підвищення рівня їх якості та зростання ефективності всього процесу проектування.</w:t>
                  </w:r>
                </w:p>
                <w:p w14:paraId="5F346F82" w14:textId="77777777" w:rsidR="00E45CCB" w:rsidRPr="00E45CCB" w:rsidRDefault="00E45CCB" w:rsidP="007E3B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Удосконалено розмірну типологію голів жінок, яка, враховуючи будову її верхньої частини, містить варіанти типових розміро-висот голів з розподілом на:</w:t>
                  </w:r>
                </w:p>
                <w:p w14:paraId="79A6B83F" w14:textId="77777777" w:rsidR="00E45CCB" w:rsidRPr="00E45CCB" w:rsidRDefault="00E45CCB" w:rsidP="00E45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висотні групи за виміром </w:t>
                  </w:r>
                  <w:r w:rsidRPr="00E45CCB">
                    <w:rPr>
                      <w:rFonts w:ascii="Times New Roman" w:eastAsia="Times New Roman" w:hAnsi="Times New Roman" w:cs="Times New Roman"/>
                      <w:i/>
                      <w:iCs/>
                      <w:sz w:val="24"/>
                      <w:szCs w:val="24"/>
                    </w:rPr>
                    <w:t>Вгп</w:t>
                  </w:r>
                  <w:r w:rsidRPr="00E45CCB">
                    <w:rPr>
                      <w:rFonts w:ascii="Times New Roman" w:eastAsia="Times New Roman" w:hAnsi="Times New Roman" w:cs="Times New Roman"/>
                      <w:sz w:val="24"/>
                      <w:szCs w:val="24"/>
                    </w:rPr>
                    <w:t>: І група </w:t>
                  </w:r>
                  <w:r w:rsidRPr="00E45CCB">
                    <w:rPr>
                      <w:rFonts w:ascii="Times New Roman" w:eastAsia="Times New Roman" w:hAnsi="Times New Roman" w:cs="Times New Roman"/>
                      <w:i/>
                      <w:iCs/>
                      <w:sz w:val="24"/>
                      <w:szCs w:val="24"/>
                    </w:rPr>
                    <w:t>Вгп</w:t>
                  </w:r>
                  <w:r w:rsidRPr="00E45CCB">
                    <w:rPr>
                      <w:rFonts w:ascii="Times New Roman" w:eastAsia="Times New Roman" w:hAnsi="Times New Roman" w:cs="Times New Roman"/>
                      <w:sz w:val="24"/>
                      <w:szCs w:val="24"/>
                    </w:rPr>
                    <w:t>= 8,0 см, ІІ група </w:t>
                  </w:r>
                  <w:r w:rsidRPr="00E45CCB">
                    <w:rPr>
                      <w:rFonts w:ascii="Times New Roman" w:eastAsia="Times New Roman" w:hAnsi="Times New Roman" w:cs="Times New Roman"/>
                      <w:i/>
                      <w:iCs/>
                      <w:sz w:val="24"/>
                      <w:szCs w:val="24"/>
                    </w:rPr>
                    <w:t>Вгп</w:t>
                  </w:r>
                  <w:r w:rsidRPr="00E45CCB">
                    <w:rPr>
                      <w:rFonts w:ascii="Times New Roman" w:eastAsia="Times New Roman" w:hAnsi="Times New Roman" w:cs="Times New Roman"/>
                      <w:sz w:val="24"/>
                      <w:szCs w:val="24"/>
                    </w:rPr>
                    <w:t>= 9,5 см, ІІІ група </w:t>
                  </w:r>
                  <w:r w:rsidRPr="00E45CCB">
                    <w:rPr>
                      <w:rFonts w:ascii="Times New Roman" w:eastAsia="Times New Roman" w:hAnsi="Times New Roman" w:cs="Times New Roman"/>
                      <w:i/>
                      <w:iCs/>
                      <w:sz w:val="24"/>
                      <w:szCs w:val="24"/>
                    </w:rPr>
                    <w:t>Вгп</w:t>
                  </w:r>
                  <w:r w:rsidRPr="00E45CCB">
                    <w:rPr>
                      <w:rFonts w:ascii="Times New Roman" w:eastAsia="Times New Roman" w:hAnsi="Times New Roman" w:cs="Times New Roman"/>
                      <w:sz w:val="24"/>
                      <w:szCs w:val="24"/>
                    </w:rPr>
                    <w:t>= 11,0 см, інтервал байдужості </w:t>
                  </w:r>
                  <w:r w:rsidRPr="00E45CCB">
                    <w:rPr>
                      <w:rFonts w:ascii="Times New Roman" w:eastAsia="Times New Roman" w:hAnsi="Times New Roman" w:cs="Times New Roman"/>
                      <w:i/>
                      <w:iCs/>
                      <w:sz w:val="24"/>
                      <w:szCs w:val="24"/>
                    </w:rPr>
                    <w:t>i</w:t>
                  </w:r>
                  <w:r w:rsidRPr="00E45CCB">
                    <w:rPr>
                      <w:rFonts w:ascii="Times New Roman" w:eastAsia="Times New Roman" w:hAnsi="Times New Roman" w:cs="Times New Roman"/>
                      <w:i/>
                      <w:iCs/>
                      <w:sz w:val="24"/>
                      <w:szCs w:val="24"/>
                      <w:vertAlign w:val="subscript"/>
                    </w:rPr>
                    <w:t>Вгп</w:t>
                  </w:r>
                  <w:r w:rsidRPr="00E45CCB">
                    <w:rPr>
                      <w:rFonts w:ascii="Times New Roman" w:eastAsia="Times New Roman" w:hAnsi="Times New Roman" w:cs="Times New Roman"/>
                      <w:i/>
                      <w:iCs/>
                      <w:sz w:val="24"/>
                      <w:szCs w:val="24"/>
                    </w:rPr>
                    <w:t> = </w:t>
                  </w:r>
                  <w:r w:rsidRPr="00E45CCB">
                    <w:rPr>
                      <w:rFonts w:ascii="Times New Roman" w:eastAsia="Times New Roman" w:hAnsi="Times New Roman" w:cs="Times New Roman"/>
                      <w:sz w:val="24"/>
                      <w:szCs w:val="24"/>
                    </w:rPr>
                    <w:t>1,5 см;</w:t>
                  </w:r>
                </w:p>
                <w:p w14:paraId="0BF749EB" w14:textId="77777777" w:rsidR="00E45CCB" w:rsidRPr="00E45CCB" w:rsidRDefault="00E45CCB" w:rsidP="00E45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морфотипи і типи форми за розробленим показником “широтна різниця” (</w:t>
                  </w:r>
                  <w:r w:rsidRPr="00E45CCB">
                    <w:rPr>
                      <w:rFonts w:ascii="Times New Roman" w:eastAsia="Times New Roman" w:hAnsi="Times New Roman" w:cs="Times New Roman"/>
                      <w:i/>
                      <w:iCs/>
                      <w:sz w:val="24"/>
                      <w:szCs w:val="24"/>
                    </w:rPr>
                    <w:t>r</w:t>
                  </w:r>
                  <w:r w:rsidRPr="00E45CCB">
                    <w:rPr>
                      <w:rFonts w:ascii="Times New Roman" w:eastAsia="Times New Roman" w:hAnsi="Times New Roman" w:cs="Times New Roman"/>
                      <w:i/>
                      <w:iCs/>
                      <w:sz w:val="24"/>
                      <w:szCs w:val="24"/>
                      <w:vertAlign w:val="subscript"/>
                    </w:rPr>
                    <w:t>ш</w:t>
                  </w:r>
                  <w:r w:rsidRPr="00E45CCB">
                    <w:rPr>
                      <w:rFonts w:ascii="Times New Roman" w:eastAsia="Times New Roman" w:hAnsi="Times New Roman" w:cs="Times New Roman"/>
                      <w:sz w:val="24"/>
                      <w:szCs w:val="24"/>
                    </w:rPr>
                    <w:t>) між вимірами </w:t>
                  </w:r>
                  <w:r w:rsidRPr="00E45CCB">
                    <w:rPr>
                      <w:rFonts w:ascii="Times New Roman" w:eastAsia="Times New Roman" w:hAnsi="Times New Roman" w:cs="Times New Roman"/>
                      <w:i/>
                      <w:iCs/>
                      <w:sz w:val="24"/>
                      <w:szCs w:val="24"/>
                    </w:rPr>
                    <w:t>dпоз</w:t>
                  </w:r>
                  <w:r w:rsidRPr="00E45CCB">
                    <w:rPr>
                      <w:rFonts w:ascii="Times New Roman" w:eastAsia="Times New Roman" w:hAnsi="Times New Roman" w:cs="Times New Roman"/>
                      <w:sz w:val="24"/>
                      <w:szCs w:val="24"/>
                    </w:rPr>
                    <w:t> і </w:t>
                  </w:r>
                  <w:r w:rsidRPr="00E45CCB">
                    <w:rPr>
                      <w:rFonts w:ascii="Times New Roman" w:eastAsia="Times New Roman" w:hAnsi="Times New Roman" w:cs="Times New Roman"/>
                      <w:i/>
                      <w:iCs/>
                      <w:sz w:val="24"/>
                      <w:szCs w:val="24"/>
                    </w:rPr>
                    <w:t>dпоп</w:t>
                  </w:r>
                  <w:r w:rsidRPr="00E45CCB">
                    <w:rPr>
                      <w:rFonts w:ascii="Times New Roman" w:eastAsia="Times New Roman" w:hAnsi="Times New Roman" w:cs="Times New Roman"/>
                      <w:sz w:val="24"/>
                      <w:szCs w:val="24"/>
                    </w:rPr>
                    <w:t>: при </w:t>
                  </w:r>
                  <w:r w:rsidRPr="00E45CCB">
                    <w:rPr>
                      <w:rFonts w:ascii="Times New Roman" w:eastAsia="Times New Roman" w:hAnsi="Times New Roman" w:cs="Times New Roman"/>
                      <w:i/>
                      <w:iCs/>
                      <w:sz w:val="24"/>
                      <w:szCs w:val="24"/>
                    </w:rPr>
                    <w:t>r</w:t>
                  </w:r>
                  <w:r w:rsidRPr="00E45CCB">
                    <w:rPr>
                      <w:rFonts w:ascii="Times New Roman" w:eastAsia="Times New Roman" w:hAnsi="Times New Roman" w:cs="Times New Roman"/>
                      <w:i/>
                      <w:iCs/>
                      <w:sz w:val="24"/>
                      <w:szCs w:val="24"/>
                      <w:vertAlign w:val="subscript"/>
                    </w:rPr>
                    <w:t>ш</w:t>
                  </w:r>
                  <w:r w:rsidRPr="00E45CCB">
                    <w:rPr>
                      <w:rFonts w:ascii="Times New Roman" w:eastAsia="Times New Roman" w:hAnsi="Times New Roman" w:cs="Times New Roman"/>
                      <w:b/>
                      <w:bCs/>
                      <w:i/>
                      <w:iCs/>
                      <w:sz w:val="24"/>
                      <w:szCs w:val="24"/>
                    </w:rPr>
                    <w:t>= </w:t>
                  </w:r>
                  <w:r w:rsidRPr="00E45CCB">
                    <w:rPr>
                      <w:rFonts w:ascii="Times New Roman" w:eastAsia="Times New Roman" w:hAnsi="Times New Roman" w:cs="Times New Roman"/>
                      <w:sz w:val="24"/>
                      <w:szCs w:val="24"/>
                    </w:rPr>
                    <w:t>3,0 см форма голови – округла, тип брахікранний, при </w:t>
                  </w:r>
                  <w:r w:rsidRPr="00E45CCB">
                    <w:rPr>
                      <w:rFonts w:ascii="Times New Roman" w:eastAsia="Times New Roman" w:hAnsi="Times New Roman" w:cs="Times New Roman"/>
                      <w:i/>
                      <w:iCs/>
                      <w:sz w:val="24"/>
                      <w:szCs w:val="24"/>
                    </w:rPr>
                    <w:t>r</w:t>
                  </w:r>
                  <w:r w:rsidRPr="00E45CCB">
                    <w:rPr>
                      <w:rFonts w:ascii="Times New Roman" w:eastAsia="Times New Roman" w:hAnsi="Times New Roman" w:cs="Times New Roman"/>
                      <w:i/>
                      <w:iCs/>
                      <w:sz w:val="24"/>
                      <w:szCs w:val="24"/>
                      <w:vertAlign w:val="subscript"/>
                    </w:rPr>
                    <w:t>ш</w:t>
                  </w:r>
                  <w:r w:rsidRPr="00E45CCB">
                    <w:rPr>
                      <w:rFonts w:ascii="Times New Roman" w:eastAsia="Times New Roman" w:hAnsi="Times New Roman" w:cs="Times New Roman"/>
                      <w:b/>
                      <w:bCs/>
                      <w:i/>
                      <w:iCs/>
                      <w:sz w:val="24"/>
                      <w:szCs w:val="24"/>
                    </w:rPr>
                    <w:t>= </w:t>
                  </w:r>
                  <w:r w:rsidRPr="00E45CCB">
                    <w:rPr>
                      <w:rFonts w:ascii="Times New Roman" w:eastAsia="Times New Roman" w:hAnsi="Times New Roman" w:cs="Times New Roman"/>
                      <w:sz w:val="24"/>
                      <w:szCs w:val="24"/>
                    </w:rPr>
                    <w:t>4,0 см форма проміжна, тип – мезокранний, при </w:t>
                  </w:r>
                  <w:r w:rsidRPr="00E45CCB">
                    <w:rPr>
                      <w:rFonts w:ascii="Times New Roman" w:eastAsia="Times New Roman" w:hAnsi="Times New Roman" w:cs="Times New Roman"/>
                      <w:i/>
                      <w:iCs/>
                      <w:sz w:val="24"/>
                      <w:szCs w:val="24"/>
                    </w:rPr>
                    <w:t>r</w:t>
                  </w:r>
                  <w:r w:rsidRPr="00E45CCB">
                    <w:rPr>
                      <w:rFonts w:ascii="Times New Roman" w:eastAsia="Times New Roman" w:hAnsi="Times New Roman" w:cs="Times New Roman"/>
                      <w:i/>
                      <w:iCs/>
                      <w:sz w:val="24"/>
                      <w:szCs w:val="24"/>
                      <w:vertAlign w:val="subscript"/>
                    </w:rPr>
                    <w:t>ш</w:t>
                  </w:r>
                  <w:r w:rsidRPr="00E45CCB">
                    <w:rPr>
                      <w:rFonts w:ascii="Times New Roman" w:eastAsia="Times New Roman" w:hAnsi="Times New Roman" w:cs="Times New Roman"/>
                      <w:b/>
                      <w:bCs/>
                      <w:i/>
                      <w:iCs/>
                      <w:sz w:val="24"/>
                      <w:szCs w:val="24"/>
                    </w:rPr>
                    <w:t>= </w:t>
                  </w:r>
                  <w:r w:rsidRPr="00E45CCB">
                    <w:rPr>
                      <w:rFonts w:ascii="Times New Roman" w:eastAsia="Times New Roman" w:hAnsi="Times New Roman" w:cs="Times New Roman"/>
                      <w:sz w:val="24"/>
                      <w:szCs w:val="24"/>
                    </w:rPr>
                    <w:t>5,0 см форма голови витягнута овальна, тип – доліхокранний, інтервал байдужості </w:t>
                  </w:r>
                  <w:r w:rsidRPr="00E45CCB">
                    <w:rPr>
                      <w:rFonts w:ascii="Times New Roman" w:eastAsia="Times New Roman" w:hAnsi="Times New Roman" w:cs="Times New Roman"/>
                      <w:i/>
                      <w:iCs/>
                      <w:sz w:val="24"/>
                      <w:szCs w:val="24"/>
                    </w:rPr>
                    <w:t>i</w:t>
                  </w:r>
                  <w:r w:rsidRPr="00E45CCB">
                    <w:rPr>
                      <w:rFonts w:ascii="Times New Roman" w:eastAsia="Times New Roman" w:hAnsi="Times New Roman" w:cs="Times New Roman"/>
                      <w:i/>
                      <w:iCs/>
                      <w:sz w:val="24"/>
                      <w:szCs w:val="24"/>
                      <w:vertAlign w:val="subscript"/>
                    </w:rPr>
                    <w:t>rш</w:t>
                  </w:r>
                  <w:r w:rsidRPr="00E45CCB">
                    <w:rPr>
                      <w:rFonts w:ascii="Times New Roman" w:eastAsia="Times New Roman" w:hAnsi="Times New Roman" w:cs="Times New Roman"/>
                      <w:sz w:val="24"/>
                      <w:szCs w:val="24"/>
                    </w:rPr>
                    <w:t>= 1,0 см.</w:t>
                  </w:r>
                </w:p>
                <w:p w14:paraId="28DB67C2" w14:textId="77777777" w:rsidR="00E45CCB" w:rsidRPr="00E45CCB" w:rsidRDefault="00E45CCB" w:rsidP="007E3B7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Встановлено теоретичний зв’язок між розмірними ознаками голови: обхват </w:t>
                  </w:r>
                  <w:r w:rsidRPr="00E45CCB">
                    <w:rPr>
                      <w:rFonts w:ascii="Times New Roman" w:eastAsia="Times New Roman" w:hAnsi="Times New Roman" w:cs="Times New Roman"/>
                      <w:i/>
                      <w:iCs/>
                      <w:sz w:val="24"/>
                      <w:szCs w:val="24"/>
                    </w:rPr>
                    <w:t>Ог</w:t>
                  </w:r>
                  <w:r w:rsidRPr="00E45CCB">
                    <w:rPr>
                      <w:rFonts w:ascii="Times New Roman" w:eastAsia="Times New Roman" w:hAnsi="Times New Roman" w:cs="Times New Roman"/>
                      <w:sz w:val="24"/>
                      <w:szCs w:val="24"/>
                    </w:rPr>
                    <w:t>, поздовжній </w:t>
                  </w:r>
                  <w:r w:rsidRPr="00E45CCB">
                    <w:rPr>
                      <w:rFonts w:ascii="Times New Roman" w:eastAsia="Times New Roman" w:hAnsi="Times New Roman" w:cs="Times New Roman"/>
                      <w:i/>
                      <w:iCs/>
                      <w:sz w:val="24"/>
                      <w:szCs w:val="24"/>
                    </w:rPr>
                    <w:t>dпоз</w:t>
                  </w:r>
                  <w:r w:rsidRPr="00E45CCB">
                    <w:rPr>
                      <w:rFonts w:ascii="Times New Roman" w:eastAsia="Times New Roman" w:hAnsi="Times New Roman" w:cs="Times New Roman"/>
                      <w:sz w:val="24"/>
                      <w:szCs w:val="24"/>
                    </w:rPr>
                    <w:t> і поперечний </w:t>
                  </w:r>
                  <w:r w:rsidRPr="00E45CCB">
                    <w:rPr>
                      <w:rFonts w:ascii="Times New Roman" w:eastAsia="Times New Roman" w:hAnsi="Times New Roman" w:cs="Times New Roman"/>
                      <w:i/>
                      <w:iCs/>
                      <w:sz w:val="24"/>
                      <w:szCs w:val="24"/>
                    </w:rPr>
                    <w:t>dпоп</w:t>
                  </w:r>
                  <w:r w:rsidRPr="00E45CCB">
                    <w:rPr>
                      <w:rFonts w:ascii="Times New Roman" w:eastAsia="Times New Roman" w:hAnsi="Times New Roman" w:cs="Times New Roman"/>
                      <w:sz w:val="24"/>
                      <w:szCs w:val="24"/>
                    </w:rPr>
                    <w:t> діаметри голови, висота її верхньої частини спереду </w:t>
                  </w:r>
                  <w:r w:rsidRPr="00E45CCB">
                    <w:rPr>
                      <w:rFonts w:ascii="Times New Roman" w:eastAsia="Times New Roman" w:hAnsi="Times New Roman" w:cs="Times New Roman"/>
                      <w:i/>
                      <w:iCs/>
                      <w:sz w:val="24"/>
                      <w:szCs w:val="24"/>
                    </w:rPr>
                    <w:t>Вгп</w:t>
                  </w:r>
                  <w:r w:rsidRPr="00E45CCB">
                    <w:rPr>
                      <w:rFonts w:ascii="Times New Roman" w:eastAsia="Times New Roman" w:hAnsi="Times New Roman" w:cs="Times New Roman"/>
                      <w:sz w:val="24"/>
                      <w:szCs w:val="24"/>
                    </w:rPr>
                    <w:t>, що разом з математичною моделлю її поверхні забезпечило розробку геометричної моделі системи “голова-головний убір” для дослідження рівня антропометричної відповідності її об’єктів за показником “баланс форми” та автоматизацію проектування головних уборів і макетів голови.</w:t>
                  </w:r>
                </w:p>
                <w:p w14:paraId="0428377A" w14:textId="77777777" w:rsidR="00E45CCB" w:rsidRPr="00E45CCB" w:rsidRDefault="00E45CCB" w:rsidP="007E3B7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 xml:space="preserve">Експериментально встановлено залежності між видовженням і навантаженням текстильних матеріалів і пакетів з них, які характеризують експлуатаційну деформацію в </w:t>
                  </w:r>
                  <w:r w:rsidRPr="00E45CCB">
                    <w:rPr>
                      <w:rFonts w:ascii="Times New Roman" w:eastAsia="Times New Roman" w:hAnsi="Times New Roman" w:cs="Times New Roman"/>
                      <w:sz w:val="24"/>
                      <w:szCs w:val="24"/>
                    </w:rPr>
                    <w:lastRenderedPageBreak/>
                    <w:t>головних уборах, що вперше забезпечило застосування методу скінчених елементів в дослідженні деформованого стану геометричної моделі системи “голова-головний убір”.</w:t>
                  </w:r>
                </w:p>
                <w:p w14:paraId="15E4E710" w14:textId="77777777" w:rsidR="00E45CCB" w:rsidRPr="00E45CCB" w:rsidRDefault="00E45CCB" w:rsidP="00E45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18</w:t>
                  </w:r>
                </w:p>
                <w:p w14:paraId="09811CF1" w14:textId="77777777" w:rsidR="00E45CCB" w:rsidRPr="00E45CCB" w:rsidRDefault="00E45CCB" w:rsidP="007E3B7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Розроблено метод автоматизованої оцінки рівня антропометричної відповідності об’єктів геометричної моделі системи „голова-головний убір” за критерієм “тиск виробу на поверхню голови”, яким встановлено перевищення на 1…13,03 % максимально допустимого тиску типових форм головних уборів (з пакетів, модуль пружності яких більше 40010</w:t>
                  </w:r>
                  <w:r w:rsidRPr="00E45CCB">
                    <w:rPr>
                      <w:rFonts w:ascii="Times New Roman" w:eastAsia="Times New Roman" w:hAnsi="Times New Roman" w:cs="Times New Roman"/>
                      <w:sz w:val="24"/>
                      <w:szCs w:val="24"/>
                      <w:vertAlign w:val="superscript"/>
                    </w:rPr>
                    <w:t>3</w:t>
                  </w:r>
                  <w:r w:rsidRPr="00E45CCB">
                    <w:rPr>
                      <w:rFonts w:ascii="Times New Roman" w:eastAsia="Times New Roman" w:hAnsi="Times New Roman" w:cs="Times New Roman"/>
                      <w:sz w:val="24"/>
                      <w:szCs w:val="24"/>
                    </w:rPr>
                    <w:t> Па) формам і морфотипам голови. Вперше виявлено зв'язки між тиском, параметрами виробу і властивостями матеріалів, які реалізовані в теоретичному розрахунку рівня антропометричної відповідності головних уборів за показником “баланс форми”. Запропонований метод є ресурсозберігаючим за рахунок виключення етапів виготовлення й дослідження форм виробів з процесу проектування.</w:t>
                  </w:r>
                </w:p>
                <w:p w14:paraId="39401202" w14:textId="77777777" w:rsidR="00E45CCB" w:rsidRPr="00E45CCB" w:rsidRDefault="00E45CCB" w:rsidP="007E3B7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5CCB">
                    <w:rPr>
                      <w:rFonts w:ascii="Times New Roman" w:eastAsia="Times New Roman" w:hAnsi="Times New Roman" w:cs="Times New Roman"/>
                      <w:sz w:val="24"/>
                      <w:szCs w:val="24"/>
                    </w:rPr>
                    <w:t>Визначено за критерієм “тиск виробу на поверхню голови” оптимальні формоутворюючі параметри і прибавку на вільне облягання виробів при побудові конструкцій жіночих шитих головних уборів з текстильних матеріалів, виробниче впровадження яких забезпечило високий рівень антропометричної відповідності виробів та скорочення матеріальних (на 11 %) і часових (на 27 %) витрат процесу проектування.</w:t>
                  </w:r>
                </w:p>
              </w:tc>
            </w:tr>
          </w:tbl>
          <w:p w14:paraId="0F1D33C2" w14:textId="77777777" w:rsidR="00E45CCB" w:rsidRPr="00E45CCB" w:rsidRDefault="00E45CCB" w:rsidP="00E45CCB">
            <w:pPr>
              <w:spacing w:after="0" w:line="240" w:lineRule="auto"/>
              <w:rPr>
                <w:rFonts w:ascii="Times New Roman" w:eastAsia="Times New Roman" w:hAnsi="Times New Roman" w:cs="Times New Roman"/>
                <w:sz w:val="24"/>
                <w:szCs w:val="24"/>
              </w:rPr>
            </w:pPr>
          </w:p>
        </w:tc>
      </w:tr>
    </w:tbl>
    <w:p w14:paraId="22074F02" w14:textId="77777777" w:rsidR="00E45CCB" w:rsidRPr="00E45CCB" w:rsidRDefault="00E45CCB" w:rsidP="00E45CCB"/>
    <w:sectPr w:rsidR="00E45CCB" w:rsidRPr="00E45C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1B09" w14:textId="77777777" w:rsidR="007E3B7D" w:rsidRDefault="007E3B7D">
      <w:pPr>
        <w:spacing w:after="0" w:line="240" w:lineRule="auto"/>
      </w:pPr>
      <w:r>
        <w:separator/>
      </w:r>
    </w:p>
  </w:endnote>
  <w:endnote w:type="continuationSeparator" w:id="0">
    <w:p w14:paraId="2454003B" w14:textId="77777777" w:rsidR="007E3B7D" w:rsidRDefault="007E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0E73" w14:textId="77777777" w:rsidR="007E3B7D" w:rsidRDefault="007E3B7D">
      <w:pPr>
        <w:spacing w:after="0" w:line="240" w:lineRule="auto"/>
      </w:pPr>
      <w:r>
        <w:separator/>
      </w:r>
    </w:p>
  </w:footnote>
  <w:footnote w:type="continuationSeparator" w:id="0">
    <w:p w14:paraId="07742EBD" w14:textId="77777777" w:rsidR="007E3B7D" w:rsidRDefault="007E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CE5"/>
    <w:multiLevelType w:val="multilevel"/>
    <w:tmpl w:val="63D69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455D28"/>
    <w:multiLevelType w:val="multilevel"/>
    <w:tmpl w:val="137A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13054D"/>
    <w:multiLevelType w:val="multilevel"/>
    <w:tmpl w:val="2DEAF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B7D"/>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99522</TotalTime>
  <Pages>3</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300</cp:revision>
  <dcterms:created xsi:type="dcterms:W3CDTF">2024-06-20T08:51:00Z</dcterms:created>
  <dcterms:modified xsi:type="dcterms:W3CDTF">2024-12-19T18:41:00Z</dcterms:modified>
  <cp:category/>
</cp:coreProperties>
</file>