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7249C" w14:textId="25861F4B" w:rsidR="00254859" w:rsidRPr="00F13E96" w:rsidRDefault="00F13E96" w:rsidP="00F13E96">
      <w:r>
        <w:rPr>
          <w:rFonts w:ascii="Verdana" w:hAnsi="Verdana"/>
          <w:b/>
          <w:bCs/>
          <w:color w:val="000000"/>
          <w:shd w:val="clear" w:color="auto" w:fill="FFFFFF"/>
        </w:rPr>
        <w:t>Рогачова Тетяна Андріївна. Клініко-патогенетичне обгрунтування корекції порушень ліпідного обміну в хворих на есенціальну гіпертензію в сполученні з остеоартрозом.- Дисертація канд. мед. наук: 14.01.02, Донец. нац. мед. ун-т ім. М. Горького. - Донецьк, 2013.- 210 с.</w:t>
      </w:r>
    </w:p>
    <w:sectPr w:rsidR="00254859" w:rsidRPr="00F13E9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3D150" w14:textId="77777777" w:rsidR="00355699" w:rsidRDefault="00355699">
      <w:pPr>
        <w:spacing w:after="0" w:line="240" w:lineRule="auto"/>
      </w:pPr>
      <w:r>
        <w:separator/>
      </w:r>
    </w:p>
  </w:endnote>
  <w:endnote w:type="continuationSeparator" w:id="0">
    <w:p w14:paraId="78440136" w14:textId="77777777" w:rsidR="00355699" w:rsidRDefault="00355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EDD58" w14:textId="77777777" w:rsidR="00355699" w:rsidRDefault="00355699">
      <w:pPr>
        <w:spacing w:after="0" w:line="240" w:lineRule="auto"/>
      </w:pPr>
      <w:r>
        <w:separator/>
      </w:r>
    </w:p>
  </w:footnote>
  <w:footnote w:type="continuationSeparator" w:id="0">
    <w:p w14:paraId="6637F200" w14:textId="77777777" w:rsidR="00355699" w:rsidRDefault="00355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5569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71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699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496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113030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2919</cp:revision>
  <dcterms:created xsi:type="dcterms:W3CDTF">2024-06-20T08:51:00Z</dcterms:created>
  <dcterms:modified xsi:type="dcterms:W3CDTF">2025-01-05T11:10:00Z</dcterms:modified>
  <cp:category/>
</cp:coreProperties>
</file>