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A371"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Христофоров, Олег Борисович.</w:t>
      </w:r>
    </w:p>
    <w:p w14:paraId="4056FAB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Мощные импульсно-периодические эксимерные лазеры : диссертация ... доктора физико-математических наук : 01.04.08. - Троицк, 1998. - 254 с. : ил.</w:t>
      </w:r>
    </w:p>
    <w:p w14:paraId="63DD486C"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Оглавление диссертациидоктор физико-математических наук Христофоров, Олег Борисович</w:t>
      </w:r>
    </w:p>
    <w:p w14:paraId="3B30406F"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ОГЛАВЛЕНИЕ</w:t>
      </w:r>
    </w:p>
    <w:p w14:paraId="4524BD10"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ВВЕДЕНИЕ</w:t>
      </w:r>
    </w:p>
    <w:p w14:paraId="2D75E761"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ГЛАВА I. ЭКСПЕРИМЕНТАЛЬНЫЙ ПОДХОД К СОЗДАНИЮ МОЩНЫХ ЭКСИМЕРНЫХ ИЗЛУЧАТЕЛЕЙ</w:t>
      </w:r>
    </w:p>
    <w:p w14:paraId="1F3A428A"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1.1. Принципы построения импульсно- периодических эксимерных лазеров</w:t>
      </w:r>
    </w:p>
    <w:p w14:paraId="19177ADB"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1.1.1. Системы импульсного питания</w:t>
      </w:r>
    </w:p>
    <w:p w14:paraId="34D0EB6A"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1.1.2. Концепция мощного эксимерного лазера с универсальным газодинамическим контуром</w:t>
      </w:r>
    </w:p>
    <w:p w14:paraId="4DE422C4"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1.1.3. Обеспечение большого времени жизни газовой смеси. 3</w:t>
      </w:r>
    </w:p>
    <w:p w14:paraId="44168A33"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1.2. Оптимизация лазерных систем на основе расчетного моделирования электрических полей</w:t>
      </w:r>
    </w:p>
    <w:p w14:paraId="2FC0ADEE"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1.3. Методики исследований</w:t>
      </w:r>
    </w:p>
    <w:p w14:paraId="0DDD506A"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1.3.1. Измерения лазерных характеристик</w:t>
      </w:r>
    </w:p>
    <w:p w14:paraId="7E62BAE3"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1.3.2.Методики изучения импульсных самостоятельных разрядов</w:t>
      </w:r>
    </w:p>
    <w:p w14:paraId="2CA88223"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1.4. Выводы к главе I</w:t>
      </w:r>
    </w:p>
    <w:p w14:paraId="5795534D"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ГЛАВА II. ИССЛЕДОВАНИЕ СКОЛЬЗЯЩЕГО РАЗРЯДА ПРИМЕНИТЕЛЬНО К ИСПОЛЬЗОВАНИЮ В ГАЗОВЫХ ЛАЗЕРАХ</w:t>
      </w:r>
    </w:p>
    <w:p w14:paraId="16A9A1F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2.1. Формирование однородных плазменных слоев большой площади</w:t>
      </w:r>
    </w:p>
    <w:p w14:paraId="04B75747"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2.2. Динамика формирования завершенного многоканального СР</w:t>
      </w:r>
    </w:p>
    <w:p w14:paraId="089BEA6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2.3. Структура электрического поля в плазме СР на стадии пробоя</w:t>
      </w:r>
    </w:p>
    <w:p w14:paraId="607C4051"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2.4. Влияние скорости нарастания электрического поля на напряжение газового пробоя</w:t>
      </w:r>
    </w:p>
    <w:p w14:paraId="19BC478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2.5. Эффект сохранения однородной формы СР при высокой частоте следования импульсов в отсутствие продува газа</w:t>
      </w:r>
    </w:p>
    <w:p w14:paraId="6710F9A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2.6. Условия достижения высокого ресурса систем формирования импульсно-периодического СР</w:t>
      </w:r>
    </w:p>
    <w:p w14:paraId="1146864A"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2.7. Излучательные характеристики сильноточного скользящего разряда. Применение СР для фотоинициирования НЕ- лазера</w:t>
      </w:r>
    </w:p>
    <w:p w14:paraId="599A79B5"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2.8. Концентрация фотоэлектронов, создаваемых излучением СР в газовых средах эксимерных лазеров</w:t>
      </w:r>
    </w:p>
    <w:p w14:paraId="163BF0C5"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 xml:space="preserve">2.9. Мощные высокоэффективные эксимерные лампы, возбуждаемые скользящим и </w:t>
      </w:r>
      <w:r w:rsidRPr="00F53249">
        <w:rPr>
          <w:rFonts w:ascii="Helvetica" w:eastAsia="Symbol" w:hAnsi="Helvetica" w:cs="Helvetica"/>
          <w:b/>
          <w:bCs/>
          <w:color w:val="222222"/>
          <w:kern w:val="0"/>
          <w:sz w:val="21"/>
          <w:szCs w:val="21"/>
          <w:lang w:eastAsia="ru-RU"/>
        </w:rPr>
        <w:lastRenderedPageBreak/>
        <w:t>барьерным разрядами</w:t>
      </w:r>
    </w:p>
    <w:p w14:paraId="14906B25"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2.9.1. Экспериментальные сапфировые эксилампы</w:t>
      </w:r>
    </w:p>
    <w:p w14:paraId="036B190D"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2.9.2. Выход флюоресценции КгБ* импульсного разряда</w:t>
      </w:r>
    </w:p>
    <w:p w14:paraId="3EACBA73"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2.9.3. Интенсивность излучения КгБ* в квазинепрерывном режиме</w:t>
      </w:r>
    </w:p>
    <w:p w14:paraId="0379A67F"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2.9.4. Ограничения на среднюю мощность флуоресценции КгБ* в долговременном режиме возбуждения</w:t>
      </w:r>
    </w:p>
    <w:p w14:paraId="6CF50C02"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2.10. Выводы к главе П</w:t>
      </w:r>
    </w:p>
    <w:p w14:paraId="0FDA9992"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ГЛАВА III. ИССЛЕДОВАНИЕ САМОСТОЯТЕЛЬНОГО ОБЪЕМНОГО РАЗРЯДА В ГАЗОВЫХ СРЕДАХ ЭКСИМЕРНЫХ ЛАЗЕРОВ</w:t>
      </w:r>
    </w:p>
    <w:p w14:paraId="50423ECB"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3.1. Импульсный самостоятельный разряд в инертных газах. 101 3.1.1. Однородный объемный разряд в Не и Ne в отсутствие предыонизации</w:t>
      </w:r>
    </w:p>
    <w:p w14:paraId="186FD9E6"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3.2. Разряд в смесях инертных газов с галогенами</w:t>
      </w:r>
    </w:p>
    <w:p w14:paraId="16071277"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3.2.1. Влияние состава газа на характер протекания разряда</w:t>
      </w:r>
    </w:p>
    <w:p w14:paraId="285C24C4"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3.2.2. Эволюция разряда с ростом амплитуды напряжения</w:t>
      </w:r>
    </w:p>
    <w:p w14:paraId="71FB3C41"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3.2.3. Результаты экспериментального и расчетного исследования развития неоднородностей в плазме объемного разряда</w:t>
      </w:r>
    </w:p>
    <w:p w14:paraId="4E438DA3"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3.3. Неустойчивость однородной формы самостоятельного разряда в газовых средах эксимерных лазеров</w:t>
      </w:r>
    </w:p>
    <w:p w14:paraId="109D822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3.4. Закономерности флуоресценции эксимерных молекул KrF* в объемном разряде</w:t>
      </w:r>
    </w:p>
    <w:p w14:paraId="0596E724"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3.4.1. Временные и энергетические характеристики флуоресценции KrF* в зависимости от условий ввода энергии и состава газовой смеси</w:t>
      </w:r>
    </w:p>
    <w:p w14:paraId="092E02CF"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3.4.2. Причины ограничения мощности и энергии флуоресценции KrF* в импульсном объемном разряде</w:t>
      </w:r>
    </w:p>
    <w:p w14:paraId="452E718D"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3.5. Увеличение выхода флуоресценции эксимерных молекул в разряде с плазменными электродами</w:t>
      </w:r>
    </w:p>
    <w:p w14:paraId="21C70A76"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3.6. Выводы к главе Ш</w:t>
      </w:r>
    </w:p>
    <w:p w14:paraId="6BE91B5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ГЛАВА IV. ИССЛЕДОВАНИЕ УСЛОВИЙ ДОСТИЖЕНИЯ ВЫСОКОЙ СРЕДНЕЙ МОЩНОСТИ ИЗЛУЧЕНИЯ KrF- ЛАЗЕРОВ</w:t>
      </w:r>
    </w:p>
    <w:p w14:paraId="68CAEDEF"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4.1. Лазеры с плазменными электродами</w:t>
      </w:r>
    </w:p>
    <w:p w14:paraId="4C16EA7A"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4.2. Основные принципы достижения высокой средней мощности электроразрядных лазеров на фторидах инертных газов</w:t>
      </w:r>
    </w:p>
    <w:p w14:paraId="262E1F71"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4.3 Широкоапертурный импульсно- периодический KrF- лазер с накачкой встречными электронными пучками</w:t>
      </w:r>
    </w:p>
    <w:p w14:paraId="5278F2B7"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4.3.1. Исследование теплового режима охлаждаемых выпускных окон электронных пушек лазера</w:t>
      </w:r>
    </w:p>
    <w:p w14:paraId="050426F5"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4.3.2. Влияние внешнего магнитного поля на характеристики накачки и генерации</w:t>
      </w:r>
    </w:p>
    <w:p w14:paraId="0B573BA1"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lastRenderedPageBreak/>
        <w:t>4.3.3. Эффект разрушения широкоалертурных оптических CaF2- окон при выводе лазерного УФ излучения высокой средней мощности</w:t>
      </w:r>
    </w:p>
    <w:p w14:paraId="2C9752ED"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-44.5. Эксимерные лазеры с диффузионным охлаждением</w:t>
      </w:r>
    </w:p>
    <w:p w14:paraId="445513DB"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4.5.1. Экстраполяция результатов исследования KrF- ламп в направлении создания импульсно- периодических эксимерных лазеров</w:t>
      </w:r>
    </w:p>
    <w:p w14:paraId="0EE79686"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4.5.2. Щелевой KrF- лазер с возбуждением двойным скользящим разрядом</w:t>
      </w:r>
    </w:p>
    <w:p w14:paraId="65863D9D"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4.6. Выводы к главе IV</w:t>
      </w:r>
    </w:p>
    <w:p w14:paraId="69F68CF2"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ГЛАВА V. МОЩНЫЕ ШИРОКОАПЕРТУРНЫЕ XeCI- ЛАЗЕРЫ С УФ</w:t>
      </w:r>
    </w:p>
    <w:p w14:paraId="328A02BF"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ПРЕДЫОНИЗАЦИЕЙ ИЗЛУЧЕНИЕМ СКОЛЬЗЯЩЕГО РАЗРЯДА</w:t>
      </w:r>
    </w:p>
    <w:p w14:paraId="73982343"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5.1. Исследование эффективных режимов УФ предыонизации</w:t>
      </w:r>
    </w:p>
    <w:p w14:paraId="2E8DC54A"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5.1.1. ХеС1-лазеры с УФ предыонизацией искровыми и скользящим разрядами</w:t>
      </w:r>
    </w:p>
    <w:p w14:paraId="0FD67CC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5.1.2. Оптимальный режим предыонизации. 179 5.1.2.1. Зависимость от условий возбуждения активной среды</w:t>
      </w:r>
    </w:p>
    <w:p w14:paraId="327DB06A"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5.2. Широкоапертурный XeCI- лазер с энергией генерации 20 Дж</w:t>
      </w:r>
    </w:p>
    <w:p w14:paraId="1AE5AF59"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5.2.1. Пространственно- энергетические характеристики излучения</w:t>
      </w:r>
    </w:p>
    <w:p w14:paraId="78849ED4"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5.2.2. Неустойчивость объемного разряда как причина ограничения длительности генерации</w:t>
      </w:r>
    </w:p>
    <w:p w14:paraId="12CE1F62"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5.3. Первый XeCI- лазер со средней мощностью излучения 1 кВт</w:t>
      </w:r>
    </w:p>
    <w:p w14:paraId="0896A987"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5.4. Создание компактных электродных систем с однородным распределением энергии генерации по сечению пучка</w:t>
      </w:r>
    </w:p>
    <w:p w14:paraId="16F258FE"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5.4.1. Компактная электродная система с предыонизацией симметричным СР</w:t>
      </w:r>
    </w:p>
    <w:p w14:paraId="6A4CBD8C"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5.4.2. Конфигурация полупрозрачного электрода высокоэффективных лазеров</w:t>
      </w:r>
    </w:p>
    <w:p w14:paraId="1D108352"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5.4.3. Метод управления пространственным профилем излучения</w:t>
      </w:r>
    </w:p>
    <w:p w14:paraId="1D8AA401"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5.5 Лазеры киловаттного уровня мощности</w:t>
      </w:r>
    </w:p>
    <w:p w14:paraId="6AC26B37"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5.5.1. Новая система накачки лазера со средней мощностью 1 кВт</w:t>
      </w:r>
    </w:p>
    <w:p w14:paraId="3F98074E"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5.5.2. Исследование условий возбуждения активной среды</w:t>
      </w:r>
    </w:p>
    <w:p w14:paraId="465D0B82"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5.5.3. Электроразрядный лазер "Гефест"</w:t>
      </w:r>
    </w:p>
    <w:p w14:paraId="7A8F61B3"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5.5.4. К вопросу о построении мощной лазерной линейки с расходимостью, близкой к дифракционному пределу</w:t>
      </w:r>
    </w:p>
    <w:p w14:paraId="69A40A4F"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5.6. Компактный широкоапертурный XeCI- лазер со средней мощностью излучения 600 Вт</w:t>
      </w:r>
    </w:p>
    <w:p w14:paraId="552C6352"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5.6.1. Особенности компактной конфигурации широкоапертурного лазера</w:t>
      </w:r>
    </w:p>
    <w:p w14:paraId="22EB2CD6"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5.6.1.1. Структура электрического поля</w:t>
      </w:r>
    </w:p>
    <w:p w14:paraId="3323E4BC"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5.6.1.2. Распределение скорости газового потока</w:t>
      </w:r>
    </w:p>
    <w:p w14:paraId="030AD5B8"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lastRenderedPageBreak/>
        <w:t>5.6.2. Характеристики излучения</w:t>
      </w:r>
    </w:p>
    <w:p w14:paraId="51B5AA04"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5.7. Выводы к главе V. 227 ОБЩИЕ ВЫВОДЫ</w:t>
      </w:r>
    </w:p>
    <w:p w14:paraId="414841CF"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ЗАКЛЮЧЕНИЕ</w:t>
      </w:r>
    </w:p>
    <w:p w14:paraId="0C117154"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ЛИТЕРАТУРА.</w:t>
      </w:r>
    </w:p>
    <w:p w14:paraId="14354FCD" w14:textId="77777777" w:rsidR="00F53249" w:rsidRPr="00F53249" w:rsidRDefault="00F53249" w:rsidP="00F53249">
      <w:pPr>
        <w:rPr>
          <w:rFonts w:ascii="Helvetica" w:eastAsia="Symbol" w:hAnsi="Helvetica" w:cs="Helvetica"/>
          <w:b/>
          <w:bCs/>
          <w:color w:val="222222"/>
          <w:kern w:val="0"/>
          <w:sz w:val="21"/>
          <w:szCs w:val="21"/>
          <w:lang w:eastAsia="ru-RU"/>
        </w:rPr>
      </w:pPr>
      <w:r w:rsidRPr="00F53249">
        <w:rPr>
          <w:rFonts w:ascii="Helvetica" w:eastAsia="Symbol" w:hAnsi="Helvetica" w:cs="Helvetica"/>
          <w:b/>
          <w:bCs/>
          <w:color w:val="222222"/>
          <w:kern w:val="0"/>
          <w:sz w:val="21"/>
          <w:szCs w:val="21"/>
          <w:lang w:eastAsia="ru-RU"/>
        </w:rPr>
        <w:t>236</w:t>
      </w:r>
    </w:p>
    <w:p w14:paraId="3869883D" w14:textId="4F6FA0A7" w:rsidR="00F11235" w:rsidRPr="00F53249" w:rsidRDefault="00F11235" w:rsidP="00F53249"/>
    <w:sectPr w:rsidR="00F11235" w:rsidRPr="00F532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9BAD" w14:textId="77777777" w:rsidR="00756B4E" w:rsidRDefault="00756B4E">
      <w:pPr>
        <w:spacing w:after="0" w:line="240" w:lineRule="auto"/>
      </w:pPr>
      <w:r>
        <w:separator/>
      </w:r>
    </w:p>
  </w:endnote>
  <w:endnote w:type="continuationSeparator" w:id="0">
    <w:p w14:paraId="33352280" w14:textId="77777777" w:rsidR="00756B4E" w:rsidRDefault="0075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3087E" w14:textId="77777777" w:rsidR="00756B4E" w:rsidRDefault="00756B4E"/>
    <w:p w14:paraId="2219B346" w14:textId="77777777" w:rsidR="00756B4E" w:rsidRDefault="00756B4E"/>
    <w:p w14:paraId="4EFF54AD" w14:textId="77777777" w:rsidR="00756B4E" w:rsidRDefault="00756B4E"/>
    <w:p w14:paraId="34605F4B" w14:textId="77777777" w:rsidR="00756B4E" w:rsidRDefault="00756B4E"/>
    <w:p w14:paraId="7034900B" w14:textId="77777777" w:rsidR="00756B4E" w:rsidRDefault="00756B4E"/>
    <w:p w14:paraId="2B86E0FF" w14:textId="77777777" w:rsidR="00756B4E" w:rsidRDefault="00756B4E"/>
    <w:p w14:paraId="707258CC" w14:textId="77777777" w:rsidR="00756B4E" w:rsidRDefault="00756B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388C54" wp14:editId="316C43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C13EC" w14:textId="77777777" w:rsidR="00756B4E" w:rsidRDefault="00756B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388C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8C13EC" w14:textId="77777777" w:rsidR="00756B4E" w:rsidRDefault="00756B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C572DB" w14:textId="77777777" w:rsidR="00756B4E" w:rsidRDefault="00756B4E"/>
    <w:p w14:paraId="4AD4395D" w14:textId="77777777" w:rsidR="00756B4E" w:rsidRDefault="00756B4E"/>
    <w:p w14:paraId="4AA97DBA" w14:textId="77777777" w:rsidR="00756B4E" w:rsidRDefault="00756B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753F59" wp14:editId="2A0BF1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D1437" w14:textId="77777777" w:rsidR="00756B4E" w:rsidRDefault="00756B4E"/>
                          <w:p w14:paraId="6B4D48DC" w14:textId="77777777" w:rsidR="00756B4E" w:rsidRDefault="00756B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753F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8D1437" w14:textId="77777777" w:rsidR="00756B4E" w:rsidRDefault="00756B4E"/>
                    <w:p w14:paraId="6B4D48DC" w14:textId="77777777" w:rsidR="00756B4E" w:rsidRDefault="00756B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491359" w14:textId="77777777" w:rsidR="00756B4E" w:rsidRDefault="00756B4E"/>
    <w:p w14:paraId="057821D1" w14:textId="77777777" w:rsidR="00756B4E" w:rsidRDefault="00756B4E">
      <w:pPr>
        <w:rPr>
          <w:sz w:val="2"/>
          <w:szCs w:val="2"/>
        </w:rPr>
      </w:pPr>
    </w:p>
    <w:p w14:paraId="6CB5F24A" w14:textId="77777777" w:rsidR="00756B4E" w:rsidRDefault="00756B4E"/>
    <w:p w14:paraId="1B1CF6E6" w14:textId="77777777" w:rsidR="00756B4E" w:rsidRDefault="00756B4E">
      <w:pPr>
        <w:spacing w:after="0" w:line="240" w:lineRule="auto"/>
      </w:pPr>
    </w:p>
  </w:footnote>
  <w:footnote w:type="continuationSeparator" w:id="0">
    <w:p w14:paraId="6058314B" w14:textId="77777777" w:rsidR="00756B4E" w:rsidRDefault="0075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B4E"/>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169263</TotalTime>
  <Pages>4</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5399</cp:revision>
  <cp:lastPrinted>2009-02-06T05:36:00Z</cp:lastPrinted>
  <dcterms:created xsi:type="dcterms:W3CDTF">2024-01-07T13:43:00Z</dcterms:created>
  <dcterms:modified xsi:type="dcterms:W3CDTF">2025-09-25T20:44:00Z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