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FDC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Панов, Андрей Валентинович.</w:t>
      </w:r>
      <w:r w:rsidRPr="00DC35D8">
        <w:rPr>
          <w:rFonts w:ascii="Helvetica" w:eastAsia="Symbol" w:hAnsi="Helvetica" w:cs="Helvetica"/>
          <w:b/>
          <w:bCs/>
          <w:color w:val="222222"/>
          <w:kern w:val="0"/>
          <w:sz w:val="21"/>
          <w:szCs w:val="21"/>
          <w:lang w:eastAsia="ru-RU"/>
        </w:rPr>
        <w:br/>
        <w:t xml:space="preserve">Магнитные состояния и гистерезисные свойства систем малых гетерогенных </w:t>
      </w:r>
      <w:proofErr w:type="gramStart"/>
      <w:r w:rsidRPr="00DC35D8">
        <w:rPr>
          <w:rFonts w:ascii="Helvetica" w:eastAsia="Symbol" w:hAnsi="Helvetica" w:cs="Helvetica"/>
          <w:b/>
          <w:bCs/>
          <w:color w:val="222222"/>
          <w:kern w:val="0"/>
          <w:sz w:val="21"/>
          <w:szCs w:val="21"/>
          <w:lang w:eastAsia="ru-RU"/>
        </w:rPr>
        <w:t>частиц :</w:t>
      </w:r>
      <w:proofErr w:type="gramEnd"/>
      <w:r w:rsidRPr="00DC35D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Владивосток, 1999. - 97 </w:t>
      </w:r>
      <w:proofErr w:type="gramStart"/>
      <w:r w:rsidRPr="00DC35D8">
        <w:rPr>
          <w:rFonts w:ascii="Helvetica" w:eastAsia="Symbol" w:hAnsi="Helvetica" w:cs="Helvetica"/>
          <w:b/>
          <w:bCs/>
          <w:color w:val="222222"/>
          <w:kern w:val="0"/>
          <w:sz w:val="21"/>
          <w:szCs w:val="21"/>
          <w:lang w:eastAsia="ru-RU"/>
        </w:rPr>
        <w:t>с. :</w:t>
      </w:r>
      <w:proofErr w:type="gramEnd"/>
      <w:r w:rsidRPr="00DC35D8">
        <w:rPr>
          <w:rFonts w:ascii="Helvetica" w:eastAsia="Symbol" w:hAnsi="Helvetica" w:cs="Helvetica"/>
          <w:b/>
          <w:bCs/>
          <w:color w:val="222222"/>
          <w:kern w:val="0"/>
          <w:sz w:val="21"/>
          <w:szCs w:val="21"/>
          <w:lang w:eastAsia="ru-RU"/>
        </w:rPr>
        <w:t xml:space="preserve"> ил.</w:t>
      </w:r>
    </w:p>
    <w:p w14:paraId="6FED0711" w14:textId="77777777" w:rsidR="00DC35D8" w:rsidRPr="00DC35D8" w:rsidRDefault="00DC35D8" w:rsidP="00DC35D8">
      <w:pPr>
        <w:rPr>
          <w:rFonts w:ascii="Helvetica" w:eastAsia="Symbol" w:hAnsi="Helvetica" w:cs="Helvetica"/>
          <w:b/>
          <w:bCs/>
          <w:color w:val="222222"/>
          <w:kern w:val="0"/>
          <w:sz w:val="21"/>
          <w:szCs w:val="21"/>
          <w:lang w:eastAsia="ru-RU"/>
        </w:rPr>
      </w:pPr>
    </w:p>
    <w:p w14:paraId="73350BB9"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 xml:space="preserve">Оглавление </w:t>
      </w:r>
      <w:proofErr w:type="spellStart"/>
      <w:r w:rsidRPr="00DC35D8">
        <w:rPr>
          <w:rFonts w:ascii="Helvetica" w:eastAsia="Symbol" w:hAnsi="Helvetica" w:cs="Helvetica"/>
          <w:b/>
          <w:bCs/>
          <w:color w:val="222222"/>
          <w:kern w:val="0"/>
          <w:sz w:val="21"/>
          <w:szCs w:val="21"/>
          <w:lang w:eastAsia="ru-RU"/>
        </w:rPr>
        <w:t>диссертациикандидат</w:t>
      </w:r>
      <w:proofErr w:type="spellEnd"/>
      <w:r w:rsidRPr="00DC35D8">
        <w:rPr>
          <w:rFonts w:ascii="Helvetica" w:eastAsia="Symbol" w:hAnsi="Helvetica" w:cs="Helvetica"/>
          <w:b/>
          <w:bCs/>
          <w:color w:val="222222"/>
          <w:kern w:val="0"/>
          <w:sz w:val="21"/>
          <w:szCs w:val="21"/>
          <w:lang w:eastAsia="ru-RU"/>
        </w:rPr>
        <w:t xml:space="preserve"> физико-математических наук Панов, Андрей Валентинович</w:t>
      </w:r>
    </w:p>
    <w:p w14:paraId="550FBA0F"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Введение</w:t>
      </w:r>
    </w:p>
    <w:p w14:paraId="5761A30C"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Глава 1. Обзор литературы</w:t>
      </w:r>
    </w:p>
    <w:p w14:paraId="57B8D5C8"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1.1. Конфигурации магнитного момента в малых частицах</w:t>
      </w:r>
    </w:p>
    <w:p w14:paraId="68EE2C00"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1.2. Механизмы перемагничивания.</w:t>
      </w:r>
    </w:p>
    <w:p w14:paraId="141AEDBF"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1.3. Модели двухкомпонентных частиц.</w:t>
      </w:r>
    </w:p>
    <w:p w14:paraId="681F6185"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1.4. Моделирование термических флуктуации в ансамблях частиц</w:t>
      </w:r>
    </w:p>
    <w:p w14:paraId="16ED20CF"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1.5. Выводы.</w:t>
      </w:r>
    </w:p>
    <w:p w14:paraId="2210517C"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Глава 2. Магнитные состояния малых частиц</w:t>
      </w:r>
    </w:p>
    <w:p w14:paraId="6712C2EF"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 xml:space="preserve">2.1. Модель </w:t>
      </w:r>
      <w:proofErr w:type="spellStart"/>
      <w:r w:rsidRPr="00DC35D8">
        <w:rPr>
          <w:rFonts w:ascii="Helvetica" w:eastAsia="Symbol" w:hAnsi="Helvetica" w:cs="Helvetica"/>
          <w:b/>
          <w:bCs/>
          <w:color w:val="222222"/>
          <w:kern w:val="0"/>
          <w:sz w:val="21"/>
          <w:szCs w:val="21"/>
          <w:lang w:eastAsia="ru-RU"/>
        </w:rPr>
        <w:t>двухдоменной</w:t>
      </w:r>
      <w:proofErr w:type="spellEnd"/>
      <w:r w:rsidRPr="00DC35D8">
        <w:rPr>
          <w:rFonts w:ascii="Helvetica" w:eastAsia="Symbol" w:hAnsi="Helvetica" w:cs="Helvetica"/>
          <w:b/>
          <w:bCs/>
          <w:color w:val="222222"/>
          <w:kern w:val="0"/>
          <w:sz w:val="21"/>
          <w:szCs w:val="21"/>
          <w:lang w:eastAsia="ru-RU"/>
        </w:rPr>
        <w:t xml:space="preserve"> частицы</w:t>
      </w:r>
    </w:p>
    <w:p w14:paraId="55CD303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2.2. Устойчивость состояния с однородной намагниченностью гомогенной частицы.</w:t>
      </w:r>
    </w:p>
    <w:p w14:paraId="3BBF0B8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2.2.1. Основные и метастабильные состояния зерен магнетита</w:t>
      </w:r>
    </w:p>
    <w:p w14:paraId="2B298B8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2.2.2. Анализ результатов моделирования для магнетита</w:t>
      </w:r>
    </w:p>
    <w:p w14:paraId="73DA0225"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2.2.3. Критические размеры частиц железа.</w:t>
      </w:r>
    </w:p>
    <w:p w14:paraId="0D913251"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2.3. Состояния окисленных частиц железа</w:t>
      </w:r>
    </w:p>
    <w:p w14:paraId="1643FE0F"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2.4. Магнитные состояния двухфазных частиц</w:t>
      </w:r>
    </w:p>
    <w:p w14:paraId="49763481"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2.4.1. Модель двухфазной частицы.</w:t>
      </w:r>
    </w:p>
    <w:p w14:paraId="56C91566"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2.4.2. Равновесные состояния двухфазной частицы</w:t>
      </w:r>
    </w:p>
    <w:p w14:paraId="7B46D067"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2.5. Влияние температуры на магнитные состояния.</w:t>
      </w:r>
    </w:p>
    <w:p w14:paraId="66B6044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2.5.1. Распределение двухфазных частиц по состояниям</w:t>
      </w:r>
    </w:p>
    <w:p w14:paraId="6FCE807D"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2.5.2. Диаграммы магнитных состояний неоднородных частиц при конечных температурах.</w:t>
      </w:r>
    </w:p>
    <w:p w14:paraId="602428CE"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2.6. Выводы.</w:t>
      </w:r>
    </w:p>
    <w:p w14:paraId="663E482A"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Глава 3. Гистерезисные свойства малых частиц</w:t>
      </w:r>
    </w:p>
    <w:p w14:paraId="7E637195"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3.1. Кривая намагничивания зерен магнетита.</w:t>
      </w:r>
    </w:p>
    <w:p w14:paraId="48096AC6"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3.2. Гистерезисные характеристики ансамбля двухфазных частиц</w:t>
      </w:r>
    </w:p>
    <w:p w14:paraId="2C51FB55"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 xml:space="preserve">3.2.1. Время релаксации и вязкая намагниченность ансамбля невзаимодействующих </w:t>
      </w:r>
      <w:r w:rsidRPr="00DC35D8">
        <w:rPr>
          <w:rFonts w:ascii="Helvetica" w:eastAsia="Symbol" w:hAnsi="Helvetica" w:cs="Helvetica"/>
          <w:b/>
          <w:bCs/>
          <w:color w:val="222222"/>
          <w:kern w:val="0"/>
          <w:sz w:val="21"/>
          <w:szCs w:val="21"/>
          <w:lang w:eastAsia="ru-RU"/>
        </w:rPr>
        <w:lastRenderedPageBreak/>
        <w:t>частиц.</w:t>
      </w:r>
    </w:p>
    <w:p w14:paraId="6023B7B4"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3.2.2. Гистерезисные свойства и остаточная намагниченность ансамбля невзаимодействующих двухфазных зерен титаномагнетита.</w:t>
      </w:r>
    </w:p>
    <w:p w14:paraId="554B6DB3"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3.2.3. Намагничивание ансамбля двухфазных частиц Со-у~¥е20з.</w:t>
      </w:r>
    </w:p>
    <w:p w14:paraId="49BC48CA"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3.3. Магнитостатическое взаимодействие в ансамбле двухфазных частиц.</w:t>
      </w:r>
    </w:p>
    <w:p w14:paraId="57414247"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3.3.1. Функция распределения по полям взаимодействия</w:t>
      </w:r>
    </w:p>
    <w:p w14:paraId="7D986FE9"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 xml:space="preserve">3.3.2. Влияние взаимодействия на остаточную намагниченность и </w:t>
      </w:r>
      <w:proofErr w:type="spellStart"/>
      <w:r w:rsidRPr="00DC35D8">
        <w:rPr>
          <w:rFonts w:ascii="Helvetica" w:eastAsia="Symbol" w:hAnsi="Helvetica" w:cs="Helvetica"/>
          <w:b/>
          <w:bCs/>
          <w:color w:val="222222"/>
          <w:kern w:val="0"/>
          <w:sz w:val="21"/>
          <w:szCs w:val="21"/>
          <w:lang w:eastAsia="ru-RU"/>
        </w:rPr>
        <w:t>коэрцитивность</w:t>
      </w:r>
      <w:proofErr w:type="spellEnd"/>
      <w:r w:rsidRPr="00DC35D8">
        <w:rPr>
          <w:rFonts w:ascii="Helvetica" w:eastAsia="Symbol" w:hAnsi="Helvetica" w:cs="Helvetica"/>
          <w:b/>
          <w:bCs/>
          <w:color w:val="222222"/>
          <w:kern w:val="0"/>
          <w:sz w:val="21"/>
          <w:szCs w:val="21"/>
          <w:lang w:eastAsia="ru-RU"/>
        </w:rPr>
        <w:t xml:space="preserve"> ансамбля химически неоднородных частиц.</w:t>
      </w:r>
    </w:p>
    <w:p w14:paraId="5C0A40D8" w14:textId="77777777" w:rsidR="00DC35D8" w:rsidRPr="00DC35D8" w:rsidRDefault="00DC35D8" w:rsidP="00DC35D8">
      <w:pPr>
        <w:rPr>
          <w:rFonts w:ascii="Helvetica" w:eastAsia="Symbol" w:hAnsi="Helvetica" w:cs="Helvetica"/>
          <w:b/>
          <w:bCs/>
          <w:color w:val="222222"/>
          <w:kern w:val="0"/>
          <w:sz w:val="21"/>
          <w:szCs w:val="21"/>
          <w:lang w:eastAsia="ru-RU"/>
        </w:rPr>
      </w:pPr>
      <w:r w:rsidRPr="00DC35D8">
        <w:rPr>
          <w:rFonts w:ascii="Helvetica" w:eastAsia="Symbol" w:hAnsi="Helvetica" w:cs="Helvetica"/>
          <w:b/>
          <w:bCs/>
          <w:color w:val="222222"/>
          <w:kern w:val="0"/>
          <w:sz w:val="21"/>
          <w:szCs w:val="21"/>
          <w:lang w:eastAsia="ru-RU"/>
        </w:rPr>
        <w:t>3.4. Выводы.</w:t>
      </w:r>
    </w:p>
    <w:p w14:paraId="071EBB05" w14:textId="008C00B6" w:rsidR="00E67B85" w:rsidRPr="00DC35D8" w:rsidRDefault="00E67B85" w:rsidP="00DC35D8"/>
    <w:sectPr w:rsidR="00E67B85" w:rsidRPr="00DC35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4D90" w14:textId="77777777" w:rsidR="00A85E36" w:rsidRDefault="00A85E36">
      <w:pPr>
        <w:spacing w:after="0" w:line="240" w:lineRule="auto"/>
      </w:pPr>
      <w:r>
        <w:separator/>
      </w:r>
    </w:p>
  </w:endnote>
  <w:endnote w:type="continuationSeparator" w:id="0">
    <w:p w14:paraId="7ED6446E" w14:textId="77777777" w:rsidR="00A85E36" w:rsidRDefault="00A8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ECD8" w14:textId="77777777" w:rsidR="00A85E36" w:rsidRDefault="00A85E36"/>
    <w:p w14:paraId="2DF8EBB1" w14:textId="77777777" w:rsidR="00A85E36" w:rsidRDefault="00A85E36"/>
    <w:p w14:paraId="4176BB3E" w14:textId="77777777" w:rsidR="00A85E36" w:rsidRDefault="00A85E36"/>
    <w:p w14:paraId="02FA207B" w14:textId="77777777" w:rsidR="00A85E36" w:rsidRDefault="00A85E36"/>
    <w:p w14:paraId="50BCB1D3" w14:textId="77777777" w:rsidR="00A85E36" w:rsidRDefault="00A85E36"/>
    <w:p w14:paraId="71FECCC2" w14:textId="77777777" w:rsidR="00A85E36" w:rsidRDefault="00A85E36"/>
    <w:p w14:paraId="57022EE7" w14:textId="77777777" w:rsidR="00A85E36" w:rsidRDefault="00A85E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0FB18" wp14:editId="542DA0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8DDD" w14:textId="77777777" w:rsidR="00A85E36" w:rsidRDefault="00A85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0FB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1B8DDD" w14:textId="77777777" w:rsidR="00A85E36" w:rsidRDefault="00A85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CE3AA6" w14:textId="77777777" w:rsidR="00A85E36" w:rsidRDefault="00A85E36"/>
    <w:p w14:paraId="47ACA6E7" w14:textId="77777777" w:rsidR="00A85E36" w:rsidRDefault="00A85E36"/>
    <w:p w14:paraId="458BD963" w14:textId="77777777" w:rsidR="00A85E36" w:rsidRDefault="00A85E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93E2C" wp14:editId="475302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39BF" w14:textId="77777777" w:rsidR="00A85E36" w:rsidRDefault="00A85E36"/>
                          <w:p w14:paraId="7E1C25C1" w14:textId="77777777" w:rsidR="00A85E36" w:rsidRDefault="00A85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93E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8839BF" w14:textId="77777777" w:rsidR="00A85E36" w:rsidRDefault="00A85E36"/>
                    <w:p w14:paraId="7E1C25C1" w14:textId="77777777" w:rsidR="00A85E36" w:rsidRDefault="00A85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1F9344" w14:textId="77777777" w:rsidR="00A85E36" w:rsidRDefault="00A85E36"/>
    <w:p w14:paraId="53616B8C" w14:textId="77777777" w:rsidR="00A85E36" w:rsidRDefault="00A85E36">
      <w:pPr>
        <w:rPr>
          <w:sz w:val="2"/>
          <w:szCs w:val="2"/>
        </w:rPr>
      </w:pPr>
    </w:p>
    <w:p w14:paraId="5B67BD83" w14:textId="77777777" w:rsidR="00A85E36" w:rsidRDefault="00A85E36"/>
    <w:p w14:paraId="35DE3AC2" w14:textId="77777777" w:rsidR="00A85E36" w:rsidRDefault="00A85E36">
      <w:pPr>
        <w:spacing w:after="0" w:line="240" w:lineRule="auto"/>
      </w:pPr>
    </w:p>
  </w:footnote>
  <w:footnote w:type="continuationSeparator" w:id="0">
    <w:p w14:paraId="476E84E3" w14:textId="77777777" w:rsidR="00A85E36" w:rsidRDefault="00A8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E36"/>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112198</TotalTime>
  <Pages>2</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1866</cp:revision>
  <cp:lastPrinted>2009-02-06T05:36:00Z</cp:lastPrinted>
  <dcterms:created xsi:type="dcterms:W3CDTF">2024-01-07T13:43:00Z</dcterms:created>
  <dcterms:modified xsi:type="dcterms:W3CDTF">2025-06-11T09:29:00Z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