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577B2" w14:textId="62F0E1CF" w:rsidR="00A51D56" w:rsidRDefault="00245F06" w:rsidP="00245F0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Ву Куанг Хуан . ЦЕНТРАЛЬНЫЕ ОРГАНЫ ИСПОЛНИТЕЛЬНОЙ ВЛАСТИ КАК СУБЪЕКТЫ МЕХАНИЗМА ЗАКОНОТВОРЧЕСТВА ВО ВЬЕТНАМЕ</w:t>
      </w:r>
      <w:bookmarkEnd w:id="0"/>
      <w:r>
        <w:rPr>
          <w:rFonts w:ascii="Verdana" w:hAnsi="Verdana"/>
          <w:color w:val="000000"/>
          <w:sz w:val="18"/>
          <w:szCs w:val="18"/>
          <w:shd w:val="clear" w:color="auto" w:fill="FFFFFF"/>
        </w:rPr>
        <w:t>: диссертация ... кандидата юридических наук: 12.00.01 / Ву Куанг Хуан ;[Место защиты: ФГБОУ ВПО «Российская академия народного хозяйства и государственной службы при Президенте РФ»].- Москва, 2015.- 282 с.</w:t>
      </w:r>
    </w:p>
    <w:p w14:paraId="26B044BA" w14:textId="77777777" w:rsidR="00245F06" w:rsidRPr="00245F06" w:rsidRDefault="00245F06" w:rsidP="00245F06">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245F06">
        <w:rPr>
          <w:rFonts w:ascii="Verdana" w:eastAsia="Times New Roman" w:hAnsi="Verdana" w:cs="Times New Roman"/>
          <w:b/>
          <w:bCs/>
          <w:color w:val="AC370B"/>
          <w:kern w:val="0"/>
          <w:sz w:val="23"/>
          <w:szCs w:val="23"/>
          <w:lang w:eastAsia="ru-RU"/>
        </w:rPr>
        <w:t>Введение к работе</w:t>
      </w:r>
    </w:p>
    <w:p w14:paraId="53495D99"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b/>
          <w:bCs/>
          <w:color w:val="000000"/>
          <w:kern w:val="0"/>
          <w:sz w:val="18"/>
          <w:szCs w:val="18"/>
          <w:lang w:eastAsia="ru-RU"/>
        </w:rPr>
        <w:t>Актуальность темы исследования.</w:t>
      </w:r>
      <w:r w:rsidRPr="00245F06">
        <w:rPr>
          <w:rFonts w:ascii="Verdana" w:eastAsia="Times New Roman" w:hAnsi="Verdana" w:cs="Times New Roman"/>
          <w:color w:val="000000"/>
          <w:kern w:val="0"/>
          <w:sz w:val="18"/>
          <w:szCs w:val="18"/>
          <w:lang w:eastAsia="ru-RU"/>
        </w:rPr>
        <w:t> В современном Вьетнаме происходят кардинальные изменения в социальной, экономической, духовной и других сферах жизнедеятельности общества, что, в свою очередь, влечет и модернизацию правовой системы государства. В этом процессе важная роль отводится законотворческой деятельности. Вьетнам находится сегодня в процессе перехода к рыночной экономике социалистической ориентации и построения механизма управления ею, поэтому повышение качества законотворческого процесса, совершенствование вьетнамской правовой системы, необходимо, чтобы обеспечить стабильное развитие страны.</w:t>
      </w:r>
    </w:p>
    <w:p w14:paraId="4098A21B"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Ряд проблем государства связан с недостаточной упорядоченностью законотворческой деятельности, которая приводит к недостаткам системы нормативно-правовых актов; невыполнению плана подготовки и принятия законов и подзаконных актов, нарушению правил законотворческой техники, наличию коллизий и пробелов, несоответствию законов требованиям общественной жизни. Все это влечет необходимость внесения в законы изменений и дополнений, что негативно влияет на стабильность правовой системы. Издание слишком общих, «рамочных» законов вынуждает органы управления издавать множество подзаконных актов, устанавливающих порядок их реализации, что замедляет проведение законов в жизнь, снижает их действенность и эффективность реализации юридическими и физическими лицами своих прав. Системное решение существующих проблем возможно только, если законотворчество будет рассматриваться как целостный внутренне согласованный механизм, работа которого зависит от слаженного взаимодействия всех составляющих его элементов.</w:t>
      </w:r>
    </w:p>
    <w:p w14:paraId="3A8FB263"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Резолюция XI общегосударственного съезда делегатов Коммунистической партии Вьетнама и Резолюция Политбюро Коммунистической партии Вьетнама № 48-NQ/TW от 24.05.2005г. о стратегии подготовки и совершенствования правовой</w:t>
      </w:r>
    </w:p>
    <w:p w14:paraId="35BB4BDE"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vertAlign w:val="superscript"/>
          <w:lang w:eastAsia="ru-RU"/>
        </w:rPr>
        <w:t>1</w:t>
      </w:r>
      <w:r w:rsidRPr="00245F06">
        <w:rPr>
          <w:rFonts w:ascii="Verdana" w:eastAsia="Times New Roman" w:hAnsi="Verdana" w:cs="Times New Roman"/>
          <w:color w:val="000000"/>
          <w:kern w:val="0"/>
          <w:sz w:val="18"/>
          <w:szCs w:val="18"/>
          <w:lang w:eastAsia="ru-RU"/>
        </w:rPr>
        <w:t> Nghi quyet Dai hoi dai bieu toan quoc Ian тії XI Dang Cong san Viet Nam. URL: /tulieuvankien/vankiendang/details.asp?topic=191&amp;subtopic=8&amp;leader_topic=989&amp;id=BT531161035 (дата обращения 01.06.2014).</w:t>
      </w:r>
    </w:p>
    <w:p w14:paraId="6D5A5D8F"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системы Вьетнама до 2020г. требуют повышения качества законотворчества, в том числе, инноваций в подготовке плана законотворческой деятельности, развития законотворческого процесса по пути демократизма, современности и эффективности. В настоящее время во Вьетнаме осуществляется создание проекта закона Национального Собрания Вьетнама «О создании правовых актов», который призван заменить законы № 17/2008/QH12 от 03.06.2008г. «О создании нормативно-правовых актов» </w:t>
      </w:r>
      <w:r w:rsidRPr="00245F06">
        <w:rPr>
          <w:rFonts w:ascii="Verdana" w:eastAsia="Times New Roman" w:hAnsi="Verdana" w:cs="Times New Roman"/>
          <w:i/>
          <w:iCs/>
          <w:color w:val="000000"/>
          <w:kern w:val="0"/>
          <w:sz w:val="18"/>
          <w:szCs w:val="18"/>
          <w:lang w:eastAsia="ru-RU"/>
        </w:rPr>
        <w:t>(далее закон Вьетнама 2008г.)</w:t>
      </w:r>
      <w:r w:rsidRPr="00245F06">
        <w:rPr>
          <w:rFonts w:ascii="Verdana" w:eastAsia="Times New Roman" w:hAnsi="Verdana" w:cs="Times New Roman"/>
          <w:color w:val="000000"/>
          <w:kern w:val="0"/>
          <w:sz w:val="18"/>
          <w:szCs w:val="18"/>
          <w:lang w:eastAsia="ru-RU"/>
        </w:rPr>
        <w:t> и № 31/2004/QH11 от 03.12.2004г. «О создании нормативно-правовых актов Народных советов, Народных комитетов». Данный проект устанавливает порядок создания всех правовых актов от центрального до местного уровня, в том числе, вносит ряд существенных изменений процесс законотворчества. Этот проект внесен в Национальное Собрание Правительством, прошел экспертизу Правового комитета Национального Собрания, рассмотрен Национальным Собранием на 8 сессии Национального Собрания XIII созыва в ноябре 2014г. </w:t>
      </w:r>
      <w:r w:rsidRPr="00245F06">
        <w:rPr>
          <w:rFonts w:ascii="Verdana" w:eastAsia="Times New Roman" w:hAnsi="Verdana" w:cs="Times New Roman"/>
          <w:i/>
          <w:iCs/>
          <w:color w:val="000000"/>
          <w:kern w:val="0"/>
          <w:sz w:val="18"/>
          <w:szCs w:val="18"/>
          <w:lang w:eastAsia="ru-RU"/>
        </w:rPr>
        <w:t>(далее - проект закона Вьетнама 2014г.)</w:t>
      </w:r>
      <w:r w:rsidRPr="00245F06">
        <w:rPr>
          <w:rFonts w:ascii="Verdana" w:eastAsia="Times New Roman" w:hAnsi="Verdana" w:cs="Times New Roman"/>
          <w:color w:val="000000"/>
          <w:kern w:val="0"/>
          <w:sz w:val="18"/>
          <w:szCs w:val="18"/>
          <w:lang w:eastAsia="ru-RU"/>
        </w:rPr>
        <w:t> и был отредактирован в Постоянном комитете Национального Собрания в марте 2015г. </w:t>
      </w:r>
      <w:r w:rsidRPr="00245F06">
        <w:rPr>
          <w:rFonts w:ascii="Verdana" w:eastAsia="Times New Roman" w:hAnsi="Verdana" w:cs="Times New Roman"/>
          <w:i/>
          <w:iCs/>
          <w:color w:val="000000"/>
          <w:kern w:val="0"/>
          <w:sz w:val="18"/>
          <w:szCs w:val="18"/>
          <w:lang w:eastAsia="ru-RU"/>
        </w:rPr>
        <w:t>(далее - проект закона Вьетнама 2015г.</w:t>
      </w:r>
      <w:r w:rsidRPr="00245F06">
        <w:rPr>
          <w:rFonts w:ascii="Verdana" w:eastAsia="Times New Roman" w:hAnsi="Verdana" w:cs="Times New Roman"/>
          <w:i/>
          <w:iCs/>
          <w:color w:val="000000"/>
          <w:kern w:val="0"/>
          <w:sz w:val="18"/>
          <w:szCs w:val="18"/>
          <w:vertAlign w:val="superscript"/>
          <w:lang w:eastAsia="ru-RU"/>
        </w:rPr>
        <w:t>4</w:t>
      </w:r>
      <w:r w:rsidRPr="00245F06">
        <w:rPr>
          <w:rFonts w:ascii="Verdana" w:eastAsia="Times New Roman" w:hAnsi="Verdana" w:cs="Times New Roman"/>
          <w:i/>
          <w:iCs/>
          <w:color w:val="000000"/>
          <w:kern w:val="0"/>
          <w:sz w:val="18"/>
          <w:szCs w:val="18"/>
          <w:lang w:eastAsia="ru-RU"/>
        </w:rPr>
        <w:t>).</w:t>
      </w:r>
      <w:r w:rsidRPr="00245F06">
        <w:rPr>
          <w:rFonts w:ascii="Verdana" w:eastAsia="Times New Roman" w:hAnsi="Verdana" w:cs="Times New Roman"/>
          <w:color w:val="000000"/>
          <w:kern w:val="0"/>
          <w:sz w:val="18"/>
          <w:szCs w:val="18"/>
          <w:lang w:eastAsia="ru-RU"/>
        </w:rPr>
        <w:t> Проект предлагает решения некоторых из существующих проблем, однако, многие его инновации также нуждаются в научном осмыслении, потому что их потенциальная эффективность пока не ясна.</w:t>
      </w:r>
    </w:p>
    <w:p w14:paraId="3EC435F4"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Характерной чертой механизма законотворчества во Вьетнаме является то, что типичное для многих государств (в том числе, для России) доминирование органов исполнительной власти на стадии планирования и разработки законопроектов носит здесь ярко выраженный характер. Более 90% законопроектов вносится в Национальное Собрание Правительством Вьетнама. Являясь органами, исполняющими законы и непосредственно управляющими различными сферами</w:t>
      </w:r>
    </w:p>
    <w:p w14:paraId="0856A6FD"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vertAlign w:val="superscript"/>
          <w:lang w:eastAsia="ru-RU"/>
        </w:rPr>
        <w:lastRenderedPageBreak/>
        <w:t>2</w:t>
      </w:r>
      <w:r w:rsidRPr="00245F06">
        <w:rPr>
          <w:rFonts w:ascii="Verdana" w:eastAsia="Times New Roman" w:hAnsi="Verdana" w:cs="Times New Roman"/>
          <w:color w:val="000000"/>
          <w:kern w:val="0"/>
          <w:sz w:val="18"/>
          <w:szCs w:val="18"/>
          <w:lang w:eastAsia="ru-RU"/>
        </w:rPr>
        <w:t> Nghi quyet so 48-NQ/TW ngay 24.5.2005 cua Bo Chinh tri khoa IX ve Chien luge xay dung va hoan thien he thong phap</w:t>
      </w:r>
      <w:r w:rsidRPr="00245F06">
        <w:rPr>
          <w:rFonts w:ascii="Verdana" w:eastAsia="Times New Roman" w:hAnsi="Verdana" w:cs="Times New Roman"/>
          <w:color w:val="000000"/>
          <w:kern w:val="0"/>
          <w:sz w:val="18"/>
          <w:szCs w:val="18"/>
          <w:lang w:eastAsia="ru-RU"/>
        </w:rPr>
        <w:br/>
        <w:t>luat Viet Nam den nam 2010, dinh huong den nam 2020.</w:t>
      </w:r>
    </w:p>
    <w:p w14:paraId="7F50E71D"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vertAlign w:val="superscript"/>
          <w:lang w:eastAsia="ru-RU"/>
        </w:rPr>
        <w:t>3</w:t>
      </w:r>
      <w:r w:rsidRPr="00245F06">
        <w:rPr>
          <w:rFonts w:ascii="Verdana" w:eastAsia="Times New Roman" w:hAnsi="Verdana" w:cs="Times New Roman"/>
          <w:color w:val="000000"/>
          <w:kern w:val="0"/>
          <w:sz w:val="18"/>
          <w:szCs w:val="18"/>
          <w:lang w:eastAsia="ru-RU"/>
        </w:rPr>
        <w:t> Указанный проект размещен в интернете на официальном сайте WEBSITE DU THAO ONLINE. URL:</w:t>
      </w:r>
      <w:r w:rsidRPr="00245F06">
        <w:rPr>
          <w:rFonts w:ascii="Verdana" w:eastAsia="Times New Roman" w:hAnsi="Verdana" w:cs="Times New Roman"/>
          <w:color w:val="000000"/>
          <w:kern w:val="0"/>
          <w:sz w:val="18"/>
          <w:szCs w:val="18"/>
          <w:lang w:eastAsia="ru-RU"/>
        </w:rPr>
        <w:br/>
        <w:t>001 (дата обращения 01.11.2014).</w:t>
      </w:r>
    </w:p>
    <w:p w14:paraId="5DBF2E02"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vertAlign w:val="superscript"/>
          <w:lang w:eastAsia="ru-RU"/>
        </w:rPr>
        <w:t>4</w:t>
      </w:r>
      <w:r w:rsidRPr="00245F06">
        <w:rPr>
          <w:rFonts w:ascii="Verdana" w:eastAsia="Times New Roman" w:hAnsi="Verdana" w:cs="Times New Roman"/>
          <w:color w:val="000000"/>
          <w:kern w:val="0"/>
          <w:sz w:val="18"/>
          <w:szCs w:val="18"/>
          <w:lang w:eastAsia="ru-RU"/>
        </w:rPr>
        <w:t> Этот проект закона размещен в интернете на официальном сайте WEBSITE DU" THAO ONLINE. URL:</w:t>
      </w:r>
      <w:r w:rsidRPr="00245F06">
        <w:rPr>
          <w:rFonts w:ascii="Verdana" w:eastAsia="Times New Roman" w:hAnsi="Verdana" w:cs="Times New Roman"/>
          <w:color w:val="000000"/>
          <w:kern w:val="0"/>
          <w:sz w:val="18"/>
          <w:szCs w:val="18"/>
          <w:lang w:eastAsia="ru-RU"/>
        </w:rPr>
        <w:br/>
        <w:t>x=l (дата обращения 10.03.2015).</w:t>
      </w:r>
    </w:p>
    <w:p w14:paraId="0A54E0EA"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общественной жизни, центральные органы исполнительной власти активно разрабатывают предложения о вариантах решения существующих на практике проблем. Поэтому понимание логики механизма законотворчества во Вьетнаме (как и во многих других странах) невозможно без подробного анализа той роли, которую играют в процессе создания закона Правительство и его органы. Все сказанное обусловливает актуальность настоящего исследования.</w:t>
      </w:r>
    </w:p>
    <w:p w14:paraId="754530D8"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b/>
          <w:bCs/>
          <w:color w:val="000000"/>
          <w:kern w:val="0"/>
          <w:sz w:val="18"/>
          <w:szCs w:val="18"/>
          <w:lang w:eastAsia="ru-RU"/>
        </w:rPr>
        <w:t>Степень научной разработанности темы.</w:t>
      </w:r>
      <w:r w:rsidRPr="00245F06">
        <w:rPr>
          <w:rFonts w:ascii="Verdana" w:eastAsia="Times New Roman" w:hAnsi="Verdana" w:cs="Times New Roman"/>
          <w:color w:val="000000"/>
          <w:kern w:val="0"/>
          <w:sz w:val="18"/>
          <w:szCs w:val="18"/>
          <w:lang w:eastAsia="ru-RU"/>
        </w:rPr>
        <w:t> В российской теоретико-правовой и конституционно-правовой литературе подробно исследованы проблемы законодательного процесса и законотворческой техники (А.И. Абрамова, Л.Ф. Апт, В.М. Баранов, СВ. Бахвалов, Р.Ф. Васильев, Н.А. Власенко, О.А. Гаврилов, М.Л. Давыдова, A.M. Дроздова, А.В. Ермакова, З.С. Желялетдинова, О.А. Иванюк, А.В. Измалков, А.В. Ильин, В.Б. Исаков, А.Ю. Калинин, А.В. Канчукоева, П.Ю. Каратеев, Т.В. Кашанина, Д.А. Керимов, А.В. Клименко, Н.П. Колдаева, С.А. Комаров, И.И. Конкина, А.А. Котенков, Е.А. Магомедова, А.П. Мазуренко, А.В. Малько, Г.А. Мартьянов, Н.И. Матузов, А.В. Мицкевич, Т.Н. Москалькова, Л.Н. Николаева, В.В. Оксамытный, А.С. Пиголкин, В.М. Платонов, СВ. Поленина, О.Н. Разбаш, Е.Е. Рафалюк, Т.Н. Рахманина, В.В. Румынина, СЛ. Сергевнин, Ю.А. Тихомиров, Т.Я. Хабриева, P.O. Халфина, А.В. Хамуков, Д.В. Хаустов, Е.А. Хохлова, О.И. Чепунов, В.В. Черников, Е.А. Юртаева и др.). При этом понятию и структуре механизма законотворчества внимание уделяется довольно редко, чаще говорится о механизме правотворчества, одним из видов которого является законотворчество (К.Н. Дмитриевцев, А.В. Ильин, Д.А. Ковачев, М.Ю. Осипов, СВ. Синю ков). Несколько диссертаций было посвящено различным аспектам участия Правительства России в механизме законотворчества (P.M. Веснин, С.А. Дмитриев, А.Т. Кабалоева, В.В. Мозолев, А.С Тарасов, И.И. Шувалов).</w:t>
      </w:r>
    </w:p>
    <w:p w14:paraId="7A6FC560"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Вьетнамские ученые чаще всего обращают внимание на отдельные элементы законотворчества или правотворчества (Динь Зунг Ши [Dinh Dung Sy], Као Ань До [Cao Anh Do], Ле Минь Там [Le Minh Tarn], Нам Нгуен [Nam Nguyen], Нгуен Дык</w:t>
      </w:r>
    </w:p>
    <w:p w14:paraId="2CF3FE45"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Под центральными органами исполнительно власти Вьетнама далее понимаются Правительство Вьетнама, а также министерства и ведомства </w:t>
      </w:r>
      <w:r w:rsidRPr="00245F06">
        <w:rPr>
          <w:rFonts w:ascii="Verdana" w:eastAsia="Times New Roman" w:hAnsi="Verdana" w:cs="Times New Roman"/>
          <w:i/>
          <w:iCs/>
          <w:color w:val="000000"/>
          <w:kern w:val="0"/>
          <w:sz w:val="18"/>
          <w:szCs w:val="18"/>
          <w:lang w:eastAsia="ru-RU"/>
        </w:rPr>
        <w:t>(далее — орган /органы министерского уровня).</w:t>
      </w:r>
    </w:p>
    <w:p w14:paraId="276E636D"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Тинь [Nguyen Dire Chinh], Нгуен Минь Доан [Nguyen Minh Doan], Нгуен Фыонг Txao [Nguyen Phuong Thao], Хоанг Тхи Ким Кує [Hoang ТЫ Kim Que] и др.), исследуют недостатки в правовом регулировании и организации законотворческого процесса (By Хонг Ань [Vu Hong Anh], By Mao [Vu Mao], Динь Ван Кує [Dinh Van Que], Доан Тхи То Уиен [Doan ТЫ То Uyen], Л є Минь Тхонг [Le Minh Thong], Нгуен Куок Хоан [Nguyen Quoc Hoan], Нгуен Ван Ан [Nguyen Van An], Нгуен Ван Иеу [Nguyen Van Yeu], Нгуен Тхи Хой [Nguyen ТЫ Hoi], Нгуен Уиен Минь [Nguyen Uyen Minh], Тао Тхи Куен [Тао ТЫ Quyen], Txao Линь [Thao Linh], Тран Хонг Нгуен [Tran Hong Nguyen], Трыонг Тхи Хонг Ха [Truong ТЫ Hong На], Хоанг Ван Ту [Hoang Van Тй], Хуинь Нгок Дань [Huynh Ngoc Dang], Фам Зуи Нгиа [Pham Duy Nghia], Фан Трунг Ли [Phan Trang Ly] и др.). Как правило, научные работы касаются участия в данном процессе Национального Собрания. Роли Правительства Вьетнама в законотворческом процессе посвящен ряд статей (Буй Нгок Шон [Bui Ngoc Son], Данг Куанг Винь [Dang Quang Vinh], Доан Ван Зунг [Doan Van Dung], Нго Дык Мань [Ngo Due Manh], Нгуен Дык Лам [Nguyen Due Lam], Нгуен Фыок Тхо [Nguyen РЫшс Tho], Нгуен Ши Зунг [Nguyen Si Dung], Ха Куанг Нгок [На Quang Ngoc] и пр.) и одна диссертация (Тран Куок Бинь [Tran Quoc Binh], 2011). В этой работе затрагиваются исторические аспекты темы (разные этапы развития вьетнамского законодательства о создании закона), анализируется процесс создания правительственных законопроектов по закону Вьетнама 2008г. Однако в ней не рассматривается ряд важных вопросов, связанных с участием Правительства (планирование и подготовка неправительственных законопроектов, сокращенный порядок разработки и принятия законов и пр.), а также недостаточно затрагивается роль министерств и ведомств, фактически являющихся основными разработчиками законопроектов.</w:t>
      </w:r>
    </w:p>
    <w:p w14:paraId="50E91594"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lastRenderedPageBreak/>
        <w:t>На сегодняшний день монографические работы по вопросам участия центральных органов исполнительной власти во вьетнамском механизме законотворчества отсутствуют. Понятие и структура самого механизма законотворчества во Вьетнаме также не стали пока объектом комплексного,</w:t>
      </w:r>
    </w:p>
    <w:p w14:paraId="18EDA576"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системного анализа. Своим исследованием автор попытался предельно восполнить обозначенные выше пробелы в правовой науке.</w:t>
      </w:r>
    </w:p>
    <w:p w14:paraId="6FF15969"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b/>
          <w:bCs/>
          <w:color w:val="000000"/>
          <w:kern w:val="0"/>
          <w:sz w:val="18"/>
          <w:szCs w:val="18"/>
          <w:lang w:eastAsia="ru-RU"/>
        </w:rPr>
        <w:t>Объект исследования</w:t>
      </w:r>
      <w:r w:rsidRPr="00245F06">
        <w:rPr>
          <w:rFonts w:ascii="Verdana" w:eastAsia="Times New Roman" w:hAnsi="Verdana" w:cs="Times New Roman"/>
          <w:color w:val="000000"/>
          <w:kern w:val="0"/>
          <w:sz w:val="18"/>
          <w:szCs w:val="18"/>
          <w:lang w:eastAsia="ru-RU"/>
        </w:rPr>
        <w:t> составляют общественные отношения, возникающие в процессе участия центральных органов исполнительной власти Вьетнама в механизме законотворчества.</w:t>
      </w:r>
    </w:p>
    <w:p w14:paraId="18FFFE2B"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b/>
          <w:bCs/>
          <w:color w:val="000000"/>
          <w:kern w:val="0"/>
          <w:sz w:val="18"/>
          <w:szCs w:val="18"/>
          <w:lang w:eastAsia="ru-RU"/>
        </w:rPr>
        <w:t>Предметом исследования</w:t>
      </w:r>
      <w:r w:rsidRPr="00245F06">
        <w:rPr>
          <w:rFonts w:ascii="Verdana" w:eastAsia="Times New Roman" w:hAnsi="Verdana" w:cs="Times New Roman"/>
          <w:color w:val="000000"/>
          <w:kern w:val="0"/>
          <w:sz w:val="18"/>
          <w:szCs w:val="18"/>
          <w:lang w:eastAsia="ru-RU"/>
        </w:rPr>
        <w:t> являются закономерности построения и функционирования механизма законотворчества; нормы, регламентирующие роль центральных органов исполнительной власти Вьетнама в этом механизме, а также практические проблемы, возникающие в процессе реализации этих норм.</w:t>
      </w:r>
    </w:p>
    <w:p w14:paraId="2FC67630"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b/>
          <w:bCs/>
          <w:i/>
          <w:iCs/>
          <w:color w:val="000000"/>
          <w:kern w:val="0"/>
          <w:sz w:val="18"/>
          <w:szCs w:val="18"/>
          <w:lang w:eastAsia="ru-RU"/>
        </w:rPr>
        <w:t>Цель исследования</w:t>
      </w:r>
      <w:r w:rsidRPr="00245F06">
        <w:rPr>
          <w:rFonts w:ascii="Verdana" w:eastAsia="Times New Roman" w:hAnsi="Verdana" w:cs="Times New Roman"/>
          <w:color w:val="000000"/>
          <w:kern w:val="0"/>
          <w:sz w:val="18"/>
          <w:szCs w:val="18"/>
          <w:lang w:eastAsia="ru-RU"/>
        </w:rPr>
        <w:t> заключается в том, чтобы, уточнить содержание понятия и структуры механизма законотворчества, оценить роль в этом механизме центральных органов исполнительной власти Вьетнама.</w:t>
      </w:r>
    </w:p>
    <w:p w14:paraId="6BB0DC9C"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Для достижения указанной цели поставлены следующие </w:t>
      </w:r>
      <w:r w:rsidRPr="00245F06">
        <w:rPr>
          <w:rFonts w:ascii="Verdana" w:eastAsia="Times New Roman" w:hAnsi="Verdana" w:cs="Times New Roman"/>
          <w:b/>
          <w:bCs/>
          <w:i/>
          <w:iCs/>
          <w:color w:val="000000"/>
          <w:kern w:val="0"/>
          <w:sz w:val="18"/>
          <w:szCs w:val="18"/>
          <w:lang w:eastAsia="ru-RU"/>
        </w:rPr>
        <w:t>задачи</w:t>
      </w:r>
      <w:r w:rsidRPr="00245F06">
        <w:rPr>
          <w:rFonts w:ascii="Verdana" w:eastAsia="Times New Roman" w:hAnsi="Verdana" w:cs="Times New Roman"/>
          <w:color w:val="000000"/>
          <w:kern w:val="0"/>
          <w:sz w:val="18"/>
          <w:szCs w:val="18"/>
          <w:lang w:eastAsia="ru-RU"/>
        </w:rPr>
        <w:t> </w:t>
      </w:r>
      <w:r w:rsidRPr="00245F06">
        <w:rPr>
          <w:rFonts w:ascii="Verdana" w:eastAsia="Times New Roman" w:hAnsi="Verdana" w:cs="Times New Roman"/>
          <w:i/>
          <w:iCs/>
          <w:color w:val="000000"/>
          <w:kern w:val="0"/>
          <w:sz w:val="18"/>
          <w:szCs w:val="18"/>
          <w:lang w:eastAsia="ru-RU"/>
        </w:rPr>
        <w:t>исследования:</w:t>
      </w:r>
    </w:p>
    <w:p w14:paraId="7B0C5051"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выявить понятие и структуру механизма законотворчества, в том числе характеризовать основные элементы механизма законотворчества.</w:t>
      </w:r>
    </w:p>
    <w:p w14:paraId="2272392D"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исследовать конституционные основы законотворчества во Вьетнаме, сопоставить конституционно-правовое регулирование законодательной деятельности по Конституциям 1992 и 2013 гг.</w:t>
      </w:r>
    </w:p>
    <w:p w14:paraId="13082FAB"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провести исследование роли центральных органов исполнительной власти Вьетнама в основных стадиях законотворчества путем анализа законодательных и иных правовых актов, в том числе организационно-распорядительных актов центральных органов исполнительной власти Вьетнама, регулирующих участие их в законотворчестве.</w:t>
      </w:r>
    </w:p>
    <w:p w14:paraId="3C196F10"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провести сравнительно-правовой анализ законодательства, регулирующего участие центральных органов исполнительной власти России и Вьетнама в законотворчестве.</w:t>
      </w:r>
    </w:p>
    <w:p w14:paraId="36C69EA4"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изучить проблемы и недостатки механизма законотворчества Вьетнама, связанные с участием центральных органов исполнительной власти, выявить их причины.</w:t>
      </w:r>
    </w:p>
    <w:p w14:paraId="7CC0CDA5"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 сформулировать выводы и предложения, способствующие повышению эффективности механизма законотворчества, в частности, участия центральных органов исполнительной власти Вьетнама в нем.</w:t>
      </w:r>
    </w:p>
    <w:p w14:paraId="0B9E2B81"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b/>
          <w:bCs/>
          <w:color w:val="000000"/>
          <w:kern w:val="0"/>
          <w:sz w:val="18"/>
          <w:szCs w:val="18"/>
          <w:lang w:eastAsia="ru-RU"/>
        </w:rPr>
        <w:t>Методы и методология исследования</w:t>
      </w:r>
      <w:r w:rsidRPr="00245F06">
        <w:rPr>
          <w:rFonts w:ascii="Verdana" w:eastAsia="Times New Roman" w:hAnsi="Verdana" w:cs="Times New Roman"/>
          <w:color w:val="000000"/>
          <w:kern w:val="0"/>
          <w:sz w:val="18"/>
          <w:szCs w:val="18"/>
          <w:lang w:eastAsia="ru-RU"/>
        </w:rPr>
        <w:t> служат апробированные наукой диалектический, общенаучные и специальные методы познания. Особую роль в исследовании сыграли формально-юридический и системный методы (при изучении понятия и структуры механизма законотворчества, характеристике его элементов, анализе действующего законодательства), сравнительно-правовой метод (при сопоставлении российского и вьетнамского законодательства в исследуемой сфере), исторический метод (для выявления тенденций и особенностей развития механизма законотворчества во Вьетнаме в соответствии с законами Вьетнама о создании нормативно-правовых актов 1996, 2002, 2008гг. и проектами закона Вьетнама 2014 и 2015гг.), статистический метод (при анализе практики законопроектной деятельности Правительства Вьетнама). Использование указанных методов научного познания способствовало комплексному исследованию объекта, детальному анализу и обобщению правового, теоретического и практического материала, определению пробелов и дефектов действующего законодательства Вьетнама, выработке рекомендаций и предложений по его совершению в сфере законотворческой деятельности центральных органов исполнительной власти.</w:t>
      </w:r>
    </w:p>
    <w:p w14:paraId="4DF7B161"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b/>
          <w:bCs/>
          <w:color w:val="000000"/>
          <w:kern w:val="0"/>
          <w:sz w:val="18"/>
          <w:szCs w:val="18"/>
          <w:lang w:eastAsia="ru-RU"/>
        </w:rPr>
        <w:t>Теоретическую основу исследования</w:t>
      </w:r>
      <w:r w:rsidRPr="00245F06">
        <w:rPr>
          <w:rFonts w:ascii="Verdana" w:eastAsia="Times New Roman" w:hAnsi="Verdana" w:cs="Times New Roman"/>
          <w:color w:val="000000"/>
          <w:kern w:val="0"/>
          <w:sz w:val="18"/>
          <w:szCs w:val="18"/>
          <w:lang w:eastAsia="ru-RU"/>
        </w:rPr>
        <w:t xml:space="preserve"> составляют научные труды вьетнамских и российских ученых и специалистов, занимающихся или занимавшихся проблемами теории права и государства, </w:t>
      </w:r>
      <w:r w:rsidRPr="00245F06">
        <w:rPr>
          <w:rFonts w:ascii="Verdana" w:eastAsia="Times New Roman" w:hAnsi="Verdana" w:cs="Times New Roman"/>
          <w:color w:val="000000"/>
          <w:kern w:val="0"/>
          <w:sz w:val="18"/>
          <w:szCs w:val="18"/>
          <w:lang w:eastAsia="ru-RU"/>
        </w:rPr>
        <w:lastRenderedPageBreak/>
        <w:t>отраслевых юридических наук. Наибольшее влияние на формирование научной позиции диссертанта оказали работы таких ученых, как А.И. Абрамова, В.М. Баранов, Буй Нгок Шон [Bui Ngoc Son], Н.А. Власенко, By Хонг Ань [Vu Hong Ann], Г.А. Гаджимагомедов, М.Л. Давыдова, Динь Ван Куе [Dinh Van Que], Динь Зунг Ши [Dinh Dung Sy], К.Н. Дмитриевцев, Доан Тхи То Уиен [Doan ТЫ То Uyen], A.M. Дроздова, Г.П. Ивлиев, А.В. Ильин, Д.А. Керимов, Д.А. Ковачев, С.А. Комаров, Ле Минь Тхонг [Le Minh Thong], А.В. Мицкевич, Т.Н. Москалькова, Нгуен Ши Зунг [Nguyen Si Dung], Нгуен Дык Лам [Nguyen Due Lam], Нго Дык Мань [Ngo Due Manh], Л.Н. Николаева, В.В.</w:t>
      </w:r>
    </w:p>
    <w:p w14:paraId="325CB4F3"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Оксамытный, А.С. Пиголкин, В.М. Платонов, СВ. Поленина, СВ. Синюков, Тран Куок Бинь [Tran Quoc Binh], Ха Куанг Нгок [На Quang Ngoc], Т.Я. Хабриева, О.И. Чепунов и др.</w:t>
      </w:r>
    </w:p>
    <w:p w14:paraId="29969888"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b/>
          <w:bCs/>
          <w:color w:val="000000"/>
          <w:kern w:val="0"/>
          <w:sz w:val="18"/>
          <w:szCs w:val="18"/>
          <w:lang w:eastAsia="ru-RU"/>
        </w:rPr>
        <w:t>Нормативную основу исследования</w:t>
      </w:r>
      <w:r w:rsidRPr="00245F06">
        <w:rPr>
          <w:rFonts w:ascii="Verdana" w:eastAsia="Times New Roman" w:hAnsi="Verdana" w:cs="Times New Roman"/>
          <w:color w:val="000000"/>
          <w:kern w:val="0"/>
          <w:sz w:val="18"/>
          <w:szCs w:val="18"/>
          <w:lang w:eastAsia="ru-RU"/>
        </w:rPr>
        <w:t> составляют Конституция России 1993 года, Конституции Вьетнама 1992 года и 2013 года, российское и вьетнамское законодательство. В работе проанализированы федеральные конституционные законы России, федеральные законы России и законы Национального Собрания Вьетнама, резолюции Национального Собрания Вьетнама, регламенты палат Федерального Собрания России, регламенты органов Национального Собрания Вьетнама, указы Президента России, постановления Правительства России и Вьетнама, нормативно-правовые акты федеральных органов исполнительной власти России и министерств, ведомств Вьетнама, регулирующие отношения, возникающие при создании законов. В работе были изучены проекты закона Национального Собрания Вьетнама, а также ряд нормативно-правовых актов, ныне утративших юридическую силу.</w:t>
      </w:r>
    </w:p>
    <w:p w14:paraId="11667379"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b/>
          <w:bCs/>
          <w:color w:val="000000"/>
          <w:kern w:val="0"/>
          <w:sz w:val="18"/>
          <w:szCs w:val="18"/>
          <w:lang w:eastAsia="ru-RU"/>
        </w:rPr>
        <w:t>Эмпирическая основа исследования</w:t>
      </w:r>
      <w:r w:rsidRPr="00245F06">
        <w:rPr>
          <w:rFonts w:ascii="Verdana" w:eastAsia="Times New Roman" w:hAnsi="Verdana" w:cs="Times New Roman"/>
          <w:color w:val="000000"/>
          <w:kern w:val="0"/>
          <w:sz w:val="18"/>
          <w:szCs w:val="18"/>
          <w:lang w:eastAsia="ru-RU"/>
        </w:rPr>
        <w:t> включает материалы законотворческой практики, статистические данные и аналитические обзоры, политические и административные документы и другие источники, касающиеся темы работы.</w:t>
      </w:r>
    </w:p>
    <w:p w14:paraId="2268A92C"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b/>
          <w:bCs/>
          <w:color w:val="000000"/>
          <w:kern w:val="0"/>
          <w:sz w:val="18"/>
          <w:szCs w:val="18"/>
          <w:lang w:eastAsia="ru-RU"/>
        </w:rPr>
        <w:t>Научная новизна диссертации</w:t>
      </w:r>
      <w:r w:rsidRPr="00245F06">
        <w:rPr>
          <w:rFonts w:ascii="Verdana" w:eastAsia="Times New Roman" w:hAnsi="Verdana" w:cs="Times New Roman"/>
          <w:color w:val="000000"/>
          <w:kern w:val="0"/>
          <w:sz w:val="18"/>
          <w:szCs w:val="18"/>
          <w:lang w:eastAsia="ru-RU"/>
        </w:rPr>
        <w:t> заключается в том, что она представляет собой первое в России и одно из первых во Вьетнаме комплексных теоретико-правовых и конституционно-правовых исследований механизма законотворчества и участия в нем центральных органов исполнительной власти Вьетнама. В работе сформулирован ряд новых и содержащих элементы новизны положений, относящихся к понятию и структуре механизма законотворчества, характеристике его элементов, понятию и классификации субъектов и принципов законотворчества.</w:t>
      </w:r>
    </w:p>
    <w:p w14:paraId="242ECA03"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Научная новизна заключается также в предложениях по совершенствованию норм вьетнамского законодательства, регулирующего участие центральных органов исполнительной власти в механизме законотворчества. Некоторые из этих предложений имеют общеправовое значение и могут представлять интерес с точки зрения исследования российской законотворческой технологии.</w:t>
      </w:r>
    </w:p>
    <w:p w14:paraId="3208A471"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В результате проведенного исследования </w:t>
      </w:r>
      <w:r w:rsidRPr="00245F06">
        <w:rPr>
          <w:rFonts w:ascii="Verdana" w:eastAsia="Times New Roman" w:hAnsi="Verdana" w:cs="Times New Roman"/>
          <w:b/>
          <w:bCs/>
          <w:color w:val="000000"/>
          <w:kern w:val="0"/>
          <w:sz w:val="18"/>
          <w:szCs w:val="18"/>
          <w:lang w:eastAsia="ru-RU"/>
        </w:rPr>
        <w:t>на защиту выносятся следующие положения,</w:t>
      </w:r>
      <w:r w:rsidRPr="00245F06">
        <w:rPr>
          <w:rFonts w:ascii="Verdana" w:eastAsia="Times New Roman" w:hAnsi="Verdana" w:cs="Times New Roman"/>
          <w:color w:val="000000"/>
          <w:kern w:val="0"/>
          <w:sz w:val="18"/>
          <w:szCs w:val="18"/>
          <w:lang w:eastAsia="ru-RU"/>
        </w:rPr>
        <w:t> являющиеся новыми или содержащими элементы новизны:</w:t>
      </w:r>
    </w:p>
    <w:p w14:paraId="1099443E" w14:textId="77777777" w:rsidR="00245F06" w:rsidRPr="00245F06" w:rsidRDefault="00245F06" w:rsidP="003705CC">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Автор под механизмом законотворчества понимает систему тесно взаимосвязанных, взаимосогласованных и взаимодействующих средств, процедур, реализуемых с участием особых субъектов и основанных на специфических принципах при соблюдении нормативных (в основном законодательных) правил и требований законотворческой техники, необходимых для обеспечения законотворческой деятельности.</w:t>
      </w:r>
    </w:p>
    <w:p w14:paraId="62DBB30C" w14:textId="77777777" w:rsidR="00245F06" w:rsidRPr="00245F06" w:rsidRDefault="00245F06" w:rsidP="003705CC">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В диссертации аргументируется положение о том, что структурными элементами механизма законотворчества являются:</w:t>
      </w:r>
    </w:p>
    <w:p w14:paraId="2170B9DD"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субъекты законотворчества (круг государственных органов, организаций и отдельных лиц, участвующих в отправлении законотворческой деятельности, вступающих в соответствующие правоотношения и имеющих в связи с этим предусмотренные конституционными и иными нормами (в основном законом) права и обязанности);</w:t>
      </w:r>
    </w:p>
    <w:p w14:paraId="7C971957"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принципы законотворчества (основополагающие идеи, руководящие начала, исходные положения осуществления законотворческой деятельности, характеризующие сущность, определяющие общие направления законотворчества и обеспечивающие его качество и эффективность);</w:t>
      </w:r>
    </w:p>
    <w:p w14:paraId="4BB41870"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 xml:space="preserve">процедуры и стадии законотворческого процесса (законотворческий процесс - порядок реализации обязательных стадий, которые осуществляются в строгой последовательности, в соответствии с </w:t>
      </w:r>
      <w:r w:rsidRPr="00245F06">
        <w:rPr>
          <w:rFonts w:ascii="Verdana" w:eastAsia="Times New Roman" w:hAnsi="Verdana" w:cs="Times New Roman"/>
          <w:color w:val="000000"/>
          <w:kern w:val="0"/>
          <w:sz w:val="18"/>
          <w:szCs w:val="18"/>
          <w:lang w:eastAsia="ru-RU"/>
        </w:rPr>
        <w:lastRenderedPageBreak/>
        <w:t>определенной процедурой и закрепляются нормативно (в основном в Конституции и законе) в целях создания закона);</w:t>
      </w:r>
    </w:p>
    <w:p w14:paraId="571A6803"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правила и приемы законотворческой техники (система формальных и содержательных требований, учитываемых при подготовке и оформлении текста проекта закона);</w:t>
      </w:r>
    </w:p>
    <w:p w14:paraId="2B152770"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организационные и материальные средства (включая квалифицированные кадры государственных органов, их правовые службы, научные и образовательные учреждения, материально-технические, информационные и экономические ресурсы, обеспечивающие законотворческую деятельность).</w:t>
      </w:r>
    </w:p>
    <w:p w14:paraId="6596C030"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3. Автор обосновывает идею о том, что Конституция Вьетнама, закрепляя</w:t>
      </w:r>
      <w:r w:rsidRPr="00245F06">
        <w:rPr>
          <w:rFonts w:ascii="Verdana" w:eastAsia="Times New Roman" w:hAnsi="Verdana" w:cs="Times New Roman"/>
          <w:color w:val="000000"/>
          <w:kern w:val="0"/>
          <w:sz w:val="18"/>
          <w:szCs w:val="18"/>
          <w:lang w:eastAsia="ru-RU"/>
        </w:rPr>
        <w:br/>
        <w:t>основы механизма законотворчества (субъектов и стадии законодательного</w:t>
      </w:r>
      <w:r w:rsidRPr="00245F06">
        <w:rPr>
          <w:rFonts w:ascii="Verdana" w:eastAsia="Times New Roman" w:hAnsi="Verdana" w:cs="Times New Roman"/>
          <w:color w:val="000000"/>
          <w:kern w:val="0"/>
          <w:sz w:val="18"/>
          <w:szCs w:val="18"/>
          <w:lang w:eastAsia="ru-RU"/>
        </w:rPr>
        <w:br/>
        <w:t>процесса), устанавливает особый статус Правительства в области законотворчества,</w:t>
      </w:r>
      <w:r w:rsidRPr="00245F06">
        <w:rPr>
          <w:rFonts w:ascii="Verdana" w:eastAsia="Times New Roman" w:hAnsi="Verdana" w:cs="Times New Roman"/>
          <w:color w:val="000000"/>
          <w:kern w:val="0"/>
          <w:sz w:val="18"/>
          <w:szCs w:val="18"/>
          <w:lang w:eastAsia="ru-RU"/>
        </w:rPr>
        <w:br/>
        <w:t>т.к. это единственный из всех субъектов права законодательной инициативы, за</w:t>
      </w:r>
      <w:r w:rsidRPr="00245F06">
        <w:rPr>
          <w:rFonts w:ascii="Verdana" w:eastAsia="Times New Roman" w:hAnsi="Verdana" w:cs="Times New Roman"/>
          <w:color w:val="000000"/>
          <w:kern w:val="0"/>
          <w:sz w:val="18"/>
          <w:szCs w:val="18"/>
          <w:lang w:eastAsia="ru-RU"/>
        </w:rPr>
        <w:br/>
        <w:t>которым прямо закреплена функция внесения законопроектов в Национальное</w:t>
      </w:r>
      <w:r w:rsidRPr="00245F06">
        <w:rPr>
          <w:rFonts w:ascii="Verdana" w:eastAsia="Times New Roman" w:hAnsi="Verdana" w:cs="Times New Roman"/>
          <w:color w:val="000000"/>
          <w:kern w:val="0"/>
          <w:sz w:val="18"/>
          <w:szCs w:val="18"/>
          <w:lang w:eastAsia="ru-RU"/>
        </w:rPr>
        <w:br/>
        <w:t>Собрание.</w:t>
      </w:r>
    </w:p>
    <w:p w14:paraId="6357DCBC"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Соответствующие конституционные положения в целом характеризуются высокой степенью стабильности, при этом наблюдается тенденция к большей гибкости в регулировании законотворчества, увеличению числа вопросов, которые регламентируются на уровне законов, а не конституции (Конституция 2013 года уделяет законотворчеству несколько меньше внимания, чем Конституция 1992 года, упоминающая план законотворческой деятельности и предусматривающая наличие специального закона, регламентирующего законотворческую процедуру).</w:t>
      </w:r>
    </w:p>
    <w:p w14:paraId="3CBBF655"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4. В диссертации обосновывается ряд авторских предложений по</w:t>
      </w:r>
      <w:r w:rsidRPr="00245F06">
        <w:rPr>
          <w:rFonts w:ascii="Verdana" w:eastAsia="Times New Roman" w:hAnsi="Verdana" w:cs="Times New Roman"/>
          <w:color w:val="000000"/>
          <w:kern w:val="0"/>
          <w:sz w:val="18"/>
          <w:szCs w:val="18"/>
          <w:lang w:eastAsia="ru-RU"/>
        </w:rPr>
        <w:br/>
        <w:t>совершенствованию каждого элемента механизма законотворчества во Вьетнаме.</w:t>
      </w:r>
      <w:r w:rsidRPr="00245F06">
        <w:rPr>
          <w:rFonts w:ascii="Verdana" w:eastAsia="Times New Roman" w:hAnsi="Verdana" w:cs="Times New Roman"/>
          <w:color w:val="000000"/>
          <w:kern w:val="0"/>
          <w:sz w:val="18"/>
          <w:szCs w:val="18"/>
          <w:lang w:eastAsia="ru-RU"/>
        </w:rPr>
        <w:br/>
        <w:t>Так, в отношении различных субъектов законотворчества поддерживается идея о</w:t>
      </w:r>
      <w:r w:rsidRPr="00245F06">
        <w:rPr>
          <w:rFonts w:ascii="Verdana" w:eastAsia="Times New Roman" w:hAnsi="Verdana" w:cs="Times New Roman"/>
          <w:color w:val="000000"/>
          <w:kern w:val="0"/>
          <w:sz w:val="18"/>
          <w:szCs w:val="18"/>
          <w:lang w:eastAsia="ru-RU"/>
        </w:rPr>
        <w:br/>
        <w:t>необходимости введения санкций, конкретизируются полномочия центральных</w:t>
      </w:r>
      <w:r w:rsidRPr="00245F06">
        <w:rPr>
          <w:rFonts w:ascii="Verdana" w:eastAsia="Times New Roman" w:hAnsi="Verdana" w:cs="Times New Roman"/>
          <w:color w:val="000000"/>
          <w:kern w:val="0"/>
          <w:sz w:val="18"/>
          <w:szCs w:val="18"/>
          <w:lang w:eastAsia="ru-RU"/>
        </w:rPr>
        <w:br/>
        <w:t>органов исполнительной власти в сфере законопроектной деятельности,</w:t>
      </w:r>
      <w:r w:rsidRPr="00245F06">
        <w:rPr>
          <w:rFonts w:ascii="Verdana" w:eastAsia="Times New Roman" w:hAnsi="Verdana" w:cs="Times New Roman"/>
          <w:color w:val="000000"/>
          <w:kern w:val="0"/>
          <w:sz w:val="18"/>
          <w:szCs w:val="18"/>
          <w:lang w:eastAsia="ru-RU"/>
        </w:rPr>
        <w:br/>
        <w:t>предлагается усовершенствование их структуры, в том числе:</w:t>
      </w:r>
    </w:p>
    <w:p w14:paraId="11E5F326"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введение должности Заместителя Председателя Правительства и статс-секретаря - заместителя руководителя органа министерского уровня, ответственных за законопроектную деятельность;</w:t>
      </w:r>
    </w:p>
    <w:p w14:paraId="3DADAB3B"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образование правительственной комиссии по законопроектной деятельности, действующей на постоянной основе;</w:t>
      </w:r>
    </w:p>
    <w:p w14:paraId="4A8ED9A3"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право представителя Правительства выступать и защищать свою позицию перед Национальным Собранием;</w:t>
      </w:r>
    </w:p>
    <w:p w14:paraId="65402EEF"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расширение возможностей участия Правительства в рассмотрении Национальным Собранием неправительственных законопроектов (право присутствовать на заседании, высказывать свое мнение, предлагать поправки);</w:t>
      </w:r>
    </w:p>
    <w:p w14:paraId="6A55762A"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усиление ответственности экспертных органов за несоответствующие требованиям предложения или законопроекты, тем не менее, прошедшие экспертизу и включенные в план законотворческой деятельности или в график рассмотрения Национальным Собранием;</w:t>
      </w:r>
    </w:p>
    <w:p w14:paraId="6BA32650"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усиление ответственности органов, составляющих проект плана законопроектной деятельности, за несвоевременное прохождение законопроектом этапов, установленных требованиями законодательства Вьетнама;</w:t>
      </w:r>
    </w:p>
    <w:p w14:paraId="6D01AAF8"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персональная ответственность руководителей органов министерского уровня перед Правительством за подготовку предложений о разработке законопроектов, график и качество разработки законопроектов;</w:t>
      </w:r>
    </w:p>
    <w:p w14:paraId="7408D91D"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возможность для всех субъектов осуществления внешнего контроля за реализацией плана законопроектной деятельности Правительства и плана законотворческой деятельности Национального Собрания, обеспечение доступности информации о них.</w:t>
      </w:r>
    </w:p>
    <w:p w14:paraId="127E1277"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lastRenderedPageBreak/>
        <w:t>5. В диссертации автором на основе анализа российских и вьетнамских теоретических и нормативных источников предлагается перечень принципов законотворчества во Вьетнаме (обеспечение руководства Коммунистической партии, объективность, социалистический демократизм, гуманизм, научность, социалистический правопорядок, осуществимость закона, обеспечение соразмерности интересов социальных сил, гласность и доступность, профессионализм, оперативность, отсутствие препятствий для реализации международных договоров, членом которых является Вьетнам).</w:t>
      </w:r>
    </w:p>
    <w:p w14:paraId="09972C7C"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Аргументируется введение дополнительных и конкретизация существующих законотворческих процедур и подстадий:</w:t>
      </w:r>
    </w:p>
    <w:p w14:paraId="07924EF1"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закрепление вместо плана законотворческой деятельности на весь период созыва Национального Собрания программы законотворческой деятельности, которая имела бы рекомендательный характер и не являлась нормативно-правовым актом;</w:t>
      </w:r>
    </w:p>
    <w:p w14:paraId="12EB2861"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представление проекта ежегодного плана законотворческой деятельности в Национальное Собрание должно осуществляться на основе утвержденных</w:t>
      </w:r>
    </w:p>
    <w:p w14:paraId="6278C6E3"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Правительством предложений о разработке законопроектов, включающих политику (концепцию) каждого из них;</w:t>
      </w:r>
    </w:p>
    <w:p w14:paraId="4E72CE67"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законодательное установление конкретных случаев, а также подробных порядка и процедуры, в которых субъекты права законодательной инициативы (в том числе Правительство) могут инициировать изменения в план законотворческой деятельности Национального Собрания;</w:t>
      </w:r>
    </w:p>
    <w:p w14:paraId="25651A63"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законодательное закрепление конкретных обязанностей ответственного разработчика по учету мнений о законопроекте (предложении о разработке законопроекта), а также по размещению в интернете на едином сайте Правительства доклада, объясняющего учет или игнорирование этих мнений;</w:t>
      </w:r>
    </w:p>
    <w:p w14:paraId="32B2210E"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законодательное закрепление конкретной обязанности субъектов, чье письменное мнение запрашивается, сформулировать свое мнение о законопроекте или предложении о разработке законопроекта;</w:t>
      </w:r>
    </w:p>
    <w:p w14:paraId="76AAEECC"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 законодательное закрепление задач и обязанностей органов и организаций, участвующих в разработке законопроекта в качестве соисполнителей;</w:t>
      </w:r>
    </w:p>
    <w:p w14:paraId="16980AB6"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повышение ответственности членов редакционного комитета перед теми органами, которые они представляют, возможность освобождения члена редакционного комитета или редакционной группы от выполнения иных должностных обязанностей по месту службы на период работы над законопроектом;</w:t>
      </w:r>
    </w:p>
    <w:p w14:paraId="61DFB2AB"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введение дополнительной процедуры направления законопроекта в Министерство внутренних дел, Министерство финансов, Министерство природных ресурсов и охраны окружающей среды для получения их заключений по вопросам обеспечения, соответственно, человеческих, финансовых и экологических ресурсов для реализации будущего закона;</w:t>
      </w:r>
    </w:p>
    <w:p w14:paraId="5DD6400F"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необходимость исключения из графика рассмотрения Национальным Собранием законопроектов, нарушающих сроки представления, процесс и процедуру разработки либо не сопровождающихся перечнем и характеристикой необходимых конкретизирующих актов;</w:t>
      </w:r>
    </w:p>
    <w:p w14:paraId="7F64558A"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закрепление права головного экспертного органа (Минюст, экспертный совет или Совет Национальностей, комитет Национального Собрания) возвратить</w:t>
      </w:r>
    </w:p>
    <w:p w14:paraId="47328405"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законопроектную документацию в головной орган разработки в случае, если она не соответствует условиям представления законопроекта в Правительство или Национальное Собрание;</w:t>
      </w:r>
    </w:p>
    <w:p w14:paraId="77FF9B70"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 установление конкретных случаев, в которых Национальное Собрание по</w:t>
      </w:r>
      <w:r w:rsidRPr="00245F06">
        <w:rPr>
          <w:rFonts w:ascii="Verdana" w:eastAsia="Times New Roman" w:hAnsi="Verdana" w:cs="Times New Roman"/>
          <w:color w:val="000000"/>
          <w:kern w:val="0"/>
          <w:sz w:val="18"/>
          <w:szCs w:val="18"/>
          <w:lang w:eastAsia="ru-RU"/>
        </w:rPr>
        <w:br/>
        <w:t>предложению Постоянного комитета может принимать решение о подготовке и</w:t>
      </w:r>
      <w:r w:rsidRPr="00245F06">
        <w:rPr>
          <w:rFonts w:ascii="Verdana" w:eastAsia="Times New Roman" w:hAnsi="Verdana" w:cs="Times New Roman"/>
          <w:color w:val="000000"/>
          <w:kern w:val="0"/>
          <w:sz w:val="18"/>
          <w:szCs w:val="18"/>
          <w:lang w:eastAsia="ru-RU"/>
        </w:rPr>
        <w:br/>
        <w:t>принятии закона в сокращенном порядке и процедуре, а органы министерского</w:t>
      </w:r>
      <w:r w:rsidRPr="00245F06">
        <w:rPr>
          <w:rFonts w:ascii="Verdana" w:eastAsia="Times New Roman" w:hAnsi="Verdana" w:cs="Times New Roman"/>
          <w:color w:val="000000"/>
          <w:kern w:val="0"/>
          <w:sz w:val="18"/>
          <w:szCs w:val="18"/>
          <w:lang w:eastAsia="ru-RU"/>
        </w:rPr>
        <w:br/>
      </w:r>
      <w:r w:rsidRPr="00245F06">
        <w:rPr>
          <w:rFonts w:ascii="Verdana" w:eastAsia="Times New Roman" w:hAnsi="Verdana" w:cs="Times New Roman"/>
          <w:color w:val="000000"/>
          <w:kern w:val="0"/>
          <w:sz w:val="18"/>
          <w:szCs w:val="18"/>
          <w:lang w:eastAsia="ru-RU"/>
        </w:rPr>
        <w:lastRenderedPageBreak/>
        <w:t>уровня, субъекты права законодательной инициативы вправе вносить,</w:t>
      </w:r>
      <w:r w:rsidRPr="00245F06">
        <w:rPr>
          <w:rFonts w:ascii="Verdana" w:eastAsia="Times New Roman" w:hAnsi="Verdana" w:cs="Times New Roman"/>
          <w:color w:val="000000"/>
          <w:kern w:val="0"/>
          <w:sz w:val="18"/>
          <w:szCs w:val="18"/>
          <w:lang w:eastAsia="ru-RU"/>
        </w:rPr>
        <w:br/>
        <w:t>соответственно, в Правительство и Национальное Собрание предложения о</w:t>
      </w:r>
      <w:r w:rsidRPr="00245F06">
        <w:rPr>
          <w:rFonts w:ascii="Verdana" w:eastAsia="Times New Roman" w:hAnsi="Verdana" w:cs="Times New Roman"/>
          <w:color w:val="000000"/>
          <w:kern w:val="0"/>
          <w:sz w:val="18"/>
          <w:szCs w:val="18"/>
          <w:lang w:eastAsia="ru-RU"/>
        </w:rPr>
        <w:br/>
        <w:t>применении такого порядка; а также установление конкретной единой процедуры</w:t>
      </w:r>
      <w:r w:rsidRPr="00245F06">
        <w:rPr>
          <w:rFonts w:ascii="Verdana" w:eastAsia="Times New Roman" w:hAnsi="Verdana" w:cs="Times New Roman"/>
          <w:color w:val="000000"/>
          <w:kern w:val="0"/>
          <w:sz w:val="18"/>
          <w:szCs w:val="18"/>
          <w:lang w:eastAsia="ru-RU"/>
        </w:rPr>
        <w:br/>
        <w:t>разработки законопроекта в сокращенном порядке (состав документации, срок</w:t>
      </w:r>
      <w:r w:rsidRPr="00245F06">
        <w:rPr>
          <w:rFonts w:ascii="Verdana" w:eastAsia="Times New Roman" w:hAnsi="Verdana" w:cs="Times New Roman"/>
          <w:color w:val="000000"/>
          <w:kern w:val="0"/>
          <w:sz w:val="18"/>
          <w:szCs w:val="18"/>
          <w:lang w:eastAsia="ru-RU"/>
        </w:rPr>
        <w:br/>
        <w:t>направления законопроекта разработчиком-органом министерского уровня в</w:t>
      </w:r>
      <w:r w:rsidRPr="00245F06">
        <w:rPr>
          <w:rFonts w:ascii="Verdana" w:eastAsia="Times New Roman" w:hAnsi="Verdana" w:cs="Times New Roman"/>
          <w:color w:val="000000"/>
          <w:kern w:val="0"/>
          <w:sz w:val="18"/>
          <w:szCs w:val="18"/>
          <w:lang w:eastAsia="ru-RU"/>
        </w:rPr>
        <w:br/>
        <w:t>Минюст, Правительство и др.).</w:t>
      </w:r>
    </w:p>
    <w:p w14:paraId="23FB1FE9"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6. Автор утверждает, что в целях совершенствования законотворческой техники необходимо уточнить перечень документов и требований, обеспечивающих качество проекта:</w:t>
      </w:r>
    </w:p>
    <w:p w14:paraId="7403E9CF"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корректировка перечней сопроводительных документов к законопроекту и материалов, включаемых в предложение о его разработке, представляемых в Минюст и Правительство, а также направляемых в Национальное Собрание и его органы;</w:t>
      </w:r>
    </w:p>
    <w:p w14:paraId="552DA4EE"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возможность формулирования особого мнения члена редакционного комитета, которое могло бы представляться в Минюст, наряду с другими документами, подлежащими экспертизе;</w:t>
      </w:r>
    </w:p>
    <w:p w14:paraId="531D2CAE"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расширение перечня вопросов экспертизы (включая вопрос о наличии коррупциогенных факторов, соблюдении порядка и процедуры разработки и др.); установление обязанности экспертного органа изложить в экспертном заключении (в докладе об экспертизе) мнение о достаточности или недостаточности материалов и содержания законопроекта для представления в Правительство (Национальное Собрание), а также четко ответить в экспертном заключении на каждый поставленный вопрос;</w:t>
      </w:r>
    </w:p>
    <w:p w14:paraId="2147F078"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создание механизма анализа политики законопроекта (оценки воздействия законопроекта) на основе мнения независимых органов, организаций;</w:t>
      </w:r>
    </w:p>
    <w:p w14:paraId="5FE0FC97"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закрепление института независимой антикоррупционной экспертизы, в т.ч. привлечение независимых экспертов (представителей общественности), не связанных по должности с разработчиками законопроекта.</w:t>
      </w:r>
    </w:p>
    <w:p w14:paraId="55471441"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7. Автором в целях совершенствования организационного и материального</w:t>
      </w:r>
      <w:r w:rsidRPr="00245F06">
        <w:rPr>
          <w:rFonts w:ascii="Verdana" w:eastAsia="Times New Roman" w:hAnsi="Verdana" w:cs="Times New Roman"/>
          <w:color w:val="000000"/>
          <w:kern w:val="0"/>
          <w:sz w:val="18"/>
          <w:szCs w:val="18"/>
          <w:lang w:eastAsia="ru-RU"/>
        </w:rPr>
        <w:br/>
        <w:t>обеспечения законотворчества предлагается:</w:t>
      </w:r>
    </w:p>
    <w:p w14:paraId="22E0F4EE"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нормативное закрепление механизма привлечения научных, профессиональных и общественных организаций к экспертизе не только законопроектов, но и предложений об их разработке;</w:t>
      </w:r>
    </w:p>
    <w:p w14:paraId="2B2116D8"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создание единого официального сайта Правительства «О правотворчестве» для размещения законопроектов, предложений об их разработке и плана законопроектной деятельности Правительства, а также для сбора общественного мнения о них и осуществления обратной связи с головным разработчиком.</w:t>
      </w:r>
    </w:p>
    <w:p w14:paraId="2F7621C7"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8. В диссертации обосновывается идея о том, что стадиями законотворческой</w:t>
      </w:r>
      <w:r w:rsidRPr="00245F06">
        <w:rPr>
          <w:rFonts w:ascii="Verdana" w:eastAsia="Times New Roman" w:hAnsi="Verdana" w:cs="Times New Roman"/>
          <w:color w:val="000000"/>
          <w:kern w:val="0"/>
          <w:sz w:val="18"/>
          <w:szCs w:val="18"/>
          <w:lang w:eastAsia="ru-RU"/>
        </w:rPr>
        <w:br/>
        <w:t>деятельности являются: а) планирование законотворческой деятельности; б)</w:t>
      </w:r>
      <w:r w:rsidRPr="00245F06">
        <w:rPr>
          <w:rFonts w:ascii="Verdana" w:eastAsia="Times New Roman" w:hAnsi="Verdana" w:cs="Times New Roman"/>
          <w:color w:val="000000"/>
          <w:kern w:val="0"/>
          <w:sz w:val="18"/>
          <w:szCs w:val="18"/>
          <w:lang w:eastAsia="ru-RU"/>
        </w:rPr>
        <w:br/>
        <w:t>разработка законопроекта; в) рассмотрение и принятие законопроекта в парламенте;</w:t>
      </w:r>
      <w:r w:rsidRPr="00245F06">
        <w:rPr>
          <w:rFonts w:ascii="Verdana" w:eastAsia="Times New Roman" w:hAnsi="Verdana" w:cs="Times New Roman"/>
          <w:color w:val="000000"/>
          <w:kern w:val="0"/>
          <w:sz w:val="18"/>
          <w:szCs w:val="18"/>
          <w:lang w:eastAsia="ru-RU"/>
        </w:rPr>
        <w:br/>
        <w:t>г) опубликование закона. В Конституции Вьетнама 2013 г. не упоминаются стадии</w:t>
      </w:r>
      <w:r w:rsidRPr="00245F06">
        <w:rPr>
          <w:rFonts w:ascii="Verdana" w:eastAsia="Times New Roman" w:hAnsi="Verdana" w:cs="Times New Roman"/>
          <w:color w:val="000000"/>
          <w:kern w:val="0"/>
          <w:sz w:val="18"/>
          <w:szCs w:val="18"/>
          <w:lang w:eastAsia="ru-RU"/>
        </w:rPr>
        <w:br/>
        <w:t>планирования и разработки, однако, они закреплены в законе «О создании</w:t>
      </w:r>
      <w:r w:rsidRPr="00245F06">
        <w:rPr>
          <w:rFonts w:ascii="Verdana" w:eastAsia="Times New Roman" w:hAnsi="Verdana" w:cs="Times New Roman"/>
          <w:color w:val="000000"/>
          <w:kern w:val="0"/>
          <w:sz w:val="18"/>
          <w:szCs w:val="18"/>
          <w:lang w:eastAsia="ru-RU"/>
        </w:rPr>
        <w:br/>
        <w:t>нормативно-правовых актов», поэтому носят процессуальный характер.</w:t>
      </w:r>
      <w:r w:rsidRPr="00245F06">
        <w:rPr>
          <w:rFonts w:ascii="Verdana" w:eastAsia="Times New Roman" w:hAnsi="Verdana" w:cs="Times New Roman"/>
          <w:color w:val="000000"/>
          <w:kern w:val="0"/>
          <w:sz w:val="18"/>
          <w:szCs w:val="18"/>
          <w:lang w:eastAsia="ru-RU"/>
        </w:rPr>
        <w:br/>
        <w:t>Аналогичные стадии применимы и к России, характеризуя законотворческий</w:t>
      </w:r>
      <w:r w:rsidRPr="00245F06">
        <w:rPr>
          <w:rFonts w:ascii="Verdana" w:eastAsia="Times New Roman" w:hAnsi="Verdana" w:cs="Times New Roman"/>
          <w:color w:val="000000"/>
          <w:kern w:val="0"/>
          <w:sz w:val="18"/>
          <w:szCs w:val="18"/>
          <w:lang w:eastAsia="ru-RU"/>
        </w:rPr>
        <w:br/>
        <w:t>процесс не с процессуальной, а с технологической точки зрения. Такой подход</w:t>
      </w:r>
      <w:r w:rsidRPr="00245F06">
        <w:rPr>
          <w:rFonts w:ascii="Verdana" w:eastAsia="Times New Roman" w:hAnsi="Verdana" w:cs="Times New Roman"/>
          <w:color w:val="000000"/>
          <w:kern w:val="0"/>
          <w:sz w:val="18"/>
          <w:szCs w:val="18"/>
          <w:lang w:eastAsia="ru-RU"/>
        </w:rPr>
        <w:br/>
        <w:t>требует более подробного анализа допарламентской стадии, в ходе которой</w:t>
      </w:r>
      <w:r w:rsidRPr="00245F06">
        <w:rPr>
          <w:rFonts w:ascii="Verdana" w:eastAsia="Times New Roman" w:hAnsi="Verdana" w:cs="Times New Roman"/>
          <w:color w:val="000000"/>
          <w:kern w:val="0"/>
          <w:sz w:val="18"/>
          <w:szCs w:val="18"/>
          <w:lang w:eastAsia="ru-RU"/>
        </w:rPr>
        <w:br/>
        <w:t>фактически осуществляется значительная доля работы над проектом.</w:t>
      </w:r>
    </w:p>
    <w:p w14:paraId="61FAA9CE"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Во Вьетнаме на всех стадиях, кроме опубликования закона, Правительство и органы министерского уровня выполняют важные функции, выступая обязательным субъектом законотворчества. Значительное влияние органов исполнительной власти на этот процесс обусловлено объективными причинами, однако, не должно быть чрезмерным. Совершенствование механизма законотворчества требует также и</w:t>
      </w:r>
    </w:p>
    <w:p w14:paraId="68512DDB"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lastRenderedPageBreak/>
        <w:t>усиления роли Национального Собрания (увеличение продолжительности сессии, повышение количества депутатов, работающих на постоянной основе и пр.).</w:t>
      </w:r>
    </w:p>
    <w:p w14:paraId="0D592B97"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b/>
          <w:bCs/>
          <w:color w:val="000000"/>
          <w:kern w:val="0"/>
          <w:sz w:val="18"/>
          <w:szCs w:val="18"/>
          <w:lang w:eastAsia="ru-RU"/>
        </w:rPr>
        <w:t>Теоретическая значимость диссертационного исследования</w:t>
      </w:r>
      <w:r w:rsidRPr="00245F06">
        <w:rPr>
          <w:rFonts w:ascii="Verdana" w:eastAsia="Times New Roman" w:hAnsi="Verdana" w:cs="Times New Roman"/>
          <w:color w:val="000000"/>
          <w:kern w:val="0"/>
          <w:sz w:val="18"/>
          <w:szCs w:val="18"/>
          <w:lang w:eastAsia="ru-RU"/>
        </w:rPr>
        <w:t> состоит в научном обосновании положений, не нашедших достаточного отражения в российской и вьетнамской юридической литературе и способствующих раскрытию значения слаженности элементов механизма законотворчества, обозначению тенденций законотворческой деятельности, что обеспечивает расширение и углубление научных знаний о ней. Диссертация впервые вводит в научный оборот российской теории права нормативно-правовую, теоретическую и практическую информацию и материалы, касающиеся организации законотворческой деятельности во Вьетнаме. В работе раскрыты теоретико-правовые и конституционно-правовые проблемы, связанные с организацией и функционированием механизма законотворчества, представлен обширный сравнительно-правовой материал, тем самым скомпонована научная база для последующих исследований законотворческой деятельности в России и зарубежных странах. Основные положения и выводы исследования могут быть использованы в качестве теоретико-методологической основы при проведении научных, в том числе, сравнительно-правовых изысканий по теории законотворчества, юридической технике, другим проблемам юриспруденции.</w:t>
      </w:r>
    </w:p>
    <w:p w14:paraId="30E9EB17"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b/>
          <w:bCs/>
          <w:color w:val="000000"/>
          <w:kern w:val="0"/>
          <w:sz w:val="18"/>
          <w:szCs w:val="18"/>
          <w:lang w:eastAsia="ru-RU"/>
        </w:rPr>
        <w:t>Практическая значимость диссертационной работы</w:t>
      </w:r>
      <w:r w:rsidRPr="00245F06">
        <w:rPr>
          <w:rFonts w:ascii="Verdana" w:eastAsia="Times New Roman" w:hAnsi="Verdana" w:cs="Times New Roman"/>
          <w:color w:val="000000"/>
          <w:kern w:val="0"/>
          <w:sz w:val="18"/>
          <w:szCs w:val="18"/>
          <w:lang w:eastAsia="ru-RU"/>
        </w:rPr>
        <w:t> состоит в возможности использования его результатов, в том числе многочисленных практических рекомендаций, при выработке правовой политики в сфере законотворческой деятельности Вьетнама, в целях повышения эффективности механизма законотворчества. Содержащиеся в диссертации выводы и предложения о механизме законотворчества, особенно роли центральных органов исполнительной власти в нем применимы для совершенствования законодательства, регулирующего деятельность государственных органов Вьетнама, практики их участия в механизме законотворчества, а также для исследования и развития законотворчества других стран, в том числе, России.</w:t>
      </w:r>
    </w:p>
    <w:p w14:paraId="18ECA3C8"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Результаты исследования применимы в учебном процессе высших учебных</w:t>
      </w:r>
    </w:p>
    <w:p w14:paraId="4953DBA4"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заведений при преподавании ряда дисциплин, в частности «Теория права и государства», «Конституционное право», «Юридическая техника», «Сравнительное правоведение» и др., а также в практической деятельности органов исполнительной и законодательной власти.</w:t>
      </w:r>
    </w:p>
    <w:p w14:paraId="311DEDF5"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b/>
          <w:bCs/>
          <w:color w:val="000000"/>
          <w:kern w:val="0"/>
          <w:sz w:val="18"/>
          <w:szCs w:val="18"/>
          <w:lang w:eastAsia="ru-RU"/>
        </w:rPr>
        <w:t>Достоверность и апробация результатов исследования.</w:t>
      </w:r>
      <w:r w:rsidRPr="00245F06">
        <w:rPr>
          <w:rFonts w:ascii="Verdana" w:eastAsia="Times New Roman" w:hAnsi="Verdana" w:cs="Times New Roman"/>
          <w:color w:val="000000"/>
          <w:kern w:val="0"/>
          <w:sz w:val="18"/>
          <w:szCs w:val="18"/>
          <w:lang w:eastAsia="ru-RU"/>
        </w:rPr>
        <w:t> Основные результаты диссертации были обсуждены и одобрены на заседаниях кафедры теории и истории права и государства и кафедры конституционного и муниципального права Института права ФГАОУ ВПО «Волгоградский государственный университет».</w:t>
      </w:r>
    </w:p>
    <w:p w14:paraId="643E9F80"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Основные результаты диссертационного исследования успешно прошли проверку в ходе апробации, имеющей научно-методологическую направленность: выступления автора в 11 международных и всероссийских научных и научно-практических конференциях, работа в качестве исполнителя коллективного научного исследования, проводимого в рамках реализации Федеральной целевой программы «Научные и научно-педагогические кадры инновационной России» на 2009-2013 годы Министерством образования и науки РФ и Волгоградским государственным университетом (Соглашение № 14. А18.21.2003 от 14.11.2012) по теме "Модернизация технологий юридической деятельности в правовых системах современного мира".</w:t>
      </w:r>
    </w:p>
    <w:p w14:paraId="5179E6FD"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color w:val="000000"/>
          <w:kern w:val="0"/>
          <w:sz w:val="18"/>
          <w:szCs w:val="18"/>
          <w:lang w:eastAsia="ru-RU"/>
        </w:rPr>
        <w:t>Диссертация является логическим завершением работы автора, основные положения которой нашли отражение в 20 научных публикациях общим объемом более 7,85 п. л., включая главу и параграф в двух монографиях, 6 статей, опубликованных в изданиях ВАК Минобрнауки России, и 2 статьи в журнале ВАК Украины.</w:t>
      </w:r>
    </w:p>
    <w:p w14:paraId="4C9F4A8E" w14:textId="77777777" w:rsidR="00245F06" w:rsidRPr="00245F06" w:rsidRDefault="00245F06" w:rsidP="00245F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45F06">
        <w:rPr>
          <w:rFonts w:ascii="Verdana" w:eastAsia="Times New Roman" w:hAnsi="Verdana" w:cs="Times New Roman"/>
          <w:b/>
          <w:bCs/>
          <w:color w:val="000000"/>
          <w:kern w:val="0"/>
          <w:sz w:val="18"/>
          <w:szCs w:val="18"/>
          <w:lang w:eastAsia="ru-RU"/>
        </w:rPr>
        <w:t>Структура диссертации</w:t>
      </w:r>
      <w:r w:rsidRPr="00245F06">
        <w:rPr>
          <w:rFonts w:ascii="Verdana" w:eastAsia="Times New Roman" w:hAnsi="Verdana" w:cs="Times New Roman"/>
          <w:color w:val="000000"/>
          <w:kern w:val="0"/>
          <w:sz w:val="18"/>
          <w:szCs w:val="18"/>
          <w:lang w:eastAsia="ru-RU"/>
        </w:rPr>
        <w:t> обусловлена ее целью и задачами, а также логикой поставленной проблемы. Диссертация состоит из введения, четырех глав, включающих семь параграфов, заключения, списка литературы и приложений</w:t>
      </w:r>
    </w:p>
    <w:p w14:paraId="4E13A6FA" w14:textId="77777777" w:rsidR="00245F06" w:rsidRPr="00245F06" w:rsidRDefault="00245F06" w:rsidP="00245F06"/>
    <w:sectPr w:rsidR="00245F06" w:rsidRPr="00245F0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56BA8" w14:textId="77777777" w:rsidR="003705CC" w:rsidRDefault="003705CC">
      <w:pPr>
        <w:spacing w:after="0" w:line="240" w:lineRule="auto"/>
      </w:pPr>
      <w:r>
        <w:separator/>
      </w:r>
    </w:p>
  </w:endnote>
  <w:endnote w:type="continuationSeparator" w:id="0">
    <w:p w14:paraId="0E4D7B31" w14:textId="77777777" w:rsidR="003705CC" w:rsidRDefault="00370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52FE9" w14:textId="77777777" w:rsidR="003705CC" w:rsidRDefault="003705CC">
      <w:pPr>
        <w:spacing w:after="0" w:line="240" w:lineRule="auto"/>
      </w:pPr>
      <w:r>
        <w:separator/>
      </w:r>
    </w:p>
  </w:footnote>
  <w:footnote w:type="continuationSeparator" w:id="0">
    <w:p w14:paraId="5C3C582A" w14:textId="77777777" w:rsidR="003705CC" w:rsidRDefault="00370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243A0019"/>
    <w:multiLevelType w:val="multilevel"/>
    <w:tmpl w:val="DE70E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B8"/>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AE4"/>
    <w:rsid w:val="00351B4E"/>
    <w:rsid w:val="003522F0"/>
    <w:rsid w:val="003524E7"/>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5CC"/>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32"/>
    <w:rsid w:val="00503353"/>
    <w:rsid w:val="005033AB"/>
    <w:rsid w:val="00503947"/>
    <w:rsid w:val="00503A65"/>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31901</TotalTime>
  <Pages>8</Pages>
  <Words>4495</Words>
  <Characters>25624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30059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6164</cp:revision>
  <cp:lastPrinted>2009-02-06T05:36:00Z</cp:lastPrinted>
  <dcterms:created xsi:type="dcterms:W3CDTF">2016-09-19T15:12:00Z</dcterms:created>
  <dcterms:modified xsi:type="dcterms:W3CDTF">2017-02-20T17:55:00Z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