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BB419E" w:rsidRDefault="00BB419E" w:rsidP="00BB419E">
      <w:r w:rsidRPr="00AC584C">
        <w:rPr>
          <w:rFonts w:ascii="Times New Roman" w:hAnsi="Times New Roman" w:cs="Times New Roman"/>
          <w:b/>
          <w:sz w:val="24"/>
          <w:szCs w:val="24"/>
        </w:rPr>
        <w:t>Опарін Андрій Сергійович,</w:t>
      </w:r>
      <w:r w:rsidRPr="00AC584C">
        <w:rPr>
          <w:rFonts w:ascii="Times New Roman" w:hAnsi="Times New Roman" w:cs="Times New Roman"/>
          <w:sz w:val="24"/>
          <w:szCs w:val="24"/>
        </w:rPr>
        <w:t xml:space="preserve"> заступник начальника Головного управління із запобігання надзвичайним ситуаціям ГУ ДСНС України в Одеській області.</w:t>
      </w:r>
      <w:r w:rsidRPr="00AC584C">
        <w:rPr>
          <w:rFonts w:ascii="Times New Roman" w:hAnsi="Times New Roman" w:cs="Times New Roman"/>
          <w:b/>
          <w:sz w:val="24"/>
          <w:szCs w:val="24"/>
        </w:rPr>
        <w:t xml:space="preserve"> </w:t>
      </w:r>
      <w:r w:rsidRPr="00AC584C">
        <w:rPr>
          <w:rFonts w:ascii="Times New Roman" w:hAnsi="Times New Roman" w:cs="Times New Roman"/>
          <w:sz w:val="24"/>
          <w:szCs w:val="24"/>
        </w:rPr>
        <w:t>Назва дисертації: «Горіння гібридних сумішей». Шифр та назва спеціальності – 01.04.17 – хімічна фізика, фізика горіння та вибуху. Спецрада Д 41.051.01 Одеського національного університету імені І. І. Мечникова</w:t>
      </w:r>
    </w:p>
    <w:sectPr w:rsidR="000D5E82" w:rsidRPr="00BB419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BB419E" w:rsidRPr="00BB419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A0711-99BA-43B1-BC1E-8E36AEE9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3813</TotalTime>
  <Pages>1</Pages>
  <Words>52</Words>
  <Characters>300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155</cp:revision>
  <cp:lastPrinted>2009-02-06T05:36:00Z</cp:lastPrinted>
  <dcterms:created xsi:type="dcterms:W3CDTF">2021-01-21T08:41:00Z</dcterms:created>
  <dcterms:modified xsi:type="dcterms:W3CDTF">2021-02-05T20:35:00Z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