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E14" w:rsidRDefault="004A6E14" w:rsidP="004A6E1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Харакоз Ганна Василівна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4A6E14" w:rsidRDefault="004A6E14" w:rsidP="004A6E1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мистецтв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Котляревського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4A6E14" w:rsidRDefault="004A6E14" w:rsidP="004A6E1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Хорова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фуга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жанрово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стильовий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виконавський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аспекти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p>
    <w:p w:rsidR="004A6E14" w:rsidRDefault="004A6E14" w:rsidP="004A6E1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матеріалі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західноєвропейської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музики</w:t>
      </w:r>
      <w:r>
        <w:rPr>
          <w:rFonts w:ascii="CIDFont+F4" w:eastAsia="CIDFont+F4" w:hAnsi="CIDFont+F3" w:cs="CIDFont+F4"/>
          <w:kern w:val="0"/>
          <w:sz w:val="28"/>
          <w:szCs w:val="28"/>
          <w:lang w:eastAsia="ru-RU"/>
        </w:rPr>
        <w:t xml:space="preserve"> XVIII XIX </w:t>
      </w:r>
      <w:r>
        <w:rPr>
          <w:rFonts w:ascii="CIDFont+F4" w:eastAsia="CIDFont+F4" w:hAnsi="CIDFont+F3" w:cs="CIDFont+F4" w:hint="eastAsia"/>
          <w:kern w:val="0"/>
          <w:sz w:val="28"/>
          <w:szCs w:val="28"/>
          <w:lang w:eastAsia="ru-RU"/>
        </w:rPr>
        <w:t>ст</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(025 </w:t>
      </w:r>
      <w:r>
        <w:rPr>
          <w:rFonts w:ascii="CIDFont+F4" w:eastAsia="CIDFont+F4" w:hAnsi="CIDFont+F3" w:cs="CIDFont+F4" w:hint="eastAsia"/>
          <w:kern w:val="0"/>
          <w:sz w:val="28"/>
          <w:szCs w:val="28"/>
          <w:lang w:eastAsia="ru-RU"/>
        </w:rPr>
        <w:t>Музичне</w:t>
      </w:r>
    </w:p>
    <w:p w:rsidR="004A6E14" w:rsidRDefault="004A6E14" w:rsidP="004A6E1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мистецтво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64.871.002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p>
    <w:p w:rsidR="00F239A4" w:rsidRPr="004A6E14" w:rsidRDefault="004A6E14" w:rsidP="004A6E14">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мистецтв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Котляревського</w:t>
      </w:r>
    </w:p>
    <w:sectPr w:rsidR="00F239A4" w:rsidRPr="004A6E1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4A6E14" w:rsidRPr="004A6E1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60CCC-03E8-4EBC-AB49-DA231DCF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2021-11-28T11:32:00Z</dcterms:created>
  <dcterms:modified xsi:type="dcterms:W3CDTF">2021-11-28T18:24:00Z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