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A74C85" w:rsidRDefault="00A74C85" w:rsidP="00A74C85">
      <w:r w:rsidRPr="00D858E0">
        <w:rPr>
          <w:rFonts w:ascii="Times New Roman" w:eastAsia="Times New Roman" w:hAnsi="Times New Roman" w:cs="Times New Roman"/>
          <w:b/>
          <w:bCs/>
          <w:sz w:val="24"/>
          <w:szCs w:val="24"/>
          <w:lang w:eastAsia="ru-RU"/>
        </w:rPr>
        <w:t xml:space="preserve">Гордій Андрій Степанович, </w:t>
      </w:r>
      <w:r w:rsidRPr="00D858E0">
        <w:rPr>
          <w:rFonts w:ascii="Times New Roman" w:eastAsia="Times New Roman" w:hAnsi="Times New Roman" w:cs="Times New Roman"/>
          <w:bCs/>
          <w:sz w:val="24"/>
          <w:szCs w:val="24"/>
          <w:lang w:eastAsia="ru-RU"/>
        </w:rPr>
        <w:t>молодший науковий співробітник відділу кістково-гнійної хірургії Державної установи «Інститут травматології та ортопедії НАМН України», м. Київ</w:t>
      </w:r>
      <w:r w:rsidRPr="00D858E0">
        <w:rPr>
          <w:rFonts w:ascii="Times New Roman" w:eastAsia="Times New Roman" w:hAnsi="Times New Roman" w:cs="Times New Roman"/>
          <w:sz w:val="24"/>
          <w:szCs w:val="24"/>
          <w:lang w:eastAsia="ru-RU"/>
        </w:rPr>
        <w:t xml:space="preserve">. Назва дисертації – «Остеомієліт Гарре та Броді: особливості діагностики та лікування».  </w:t>
      </w:r>
      <w:r w:rsidRPr="00D858E0">
        <w:rPr>
          <w:rFonts w:ascii="Times New Roman" w:eastAsia="Times New Roman" w:hAnsi="Times New Roman" w:cs="Times New Roman"/>
          <w:bCs/>
          <w:sz w:val="24"/>
          <w:szCs w:val="24"/>
          <w:lang w:eastAsia="ru-RU"/>
        </w:rPr>
        <w:t>Шифр та назва спеціальності</w:t>
      </w:r>
      <w:r w:rsidRPr="00D858E0">
        <w:rPr>
          <w:rFonts w:ascii="Times New Roman" w:eastAsia="Times New Roman" w:hAnsi="Times New Roman" w:cs="Times New Roman"/>
          <w:sz w:val="24"/>
          <w:szCs w:val="24"/>
          <w:lang w:eastAsia="ru-RU"/>
        </w:rPr>
        <w:t xml:space="preserve"> – 14.01.21 – травматологія та ортопедія. Спецрада  Д 26.606.01  Державної установи «Інститут травматології та ортопедії Національної академії медичних наук України»</w:t>
      </w:r>
    </w:p>
    <w:sectPr w:rsidR="00CD7D1F" w:rsidRPr="00A74C8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A74C85" w:rsidRPr="00A74C8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AC4D3-D7CA-45AB-971F-90020867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Pages>
  <Words>67</Words>
  <Characters>385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125</cp:revision>
  <cp:lastPrinted>2009-02-06T05:36:00Z</cp:lastPrinted>
  <dcterms:created xsi:type="dcterms:W3CDTF">2021-08-08T21:04:00Z</dcterms:created>
  <dcterms:modified xsi:type="dcterms:W3CDTF">2021-08-10T07:42:00Z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