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85527" w14:textId="1EF0EE96" w:rsidR="00F74F50" w:rsidRDefault="008F4613" w:rsidP="008F461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Андреева, Лидия Сергеевна. Уголовная ответственность за нарушение правил безопасности при обращении с микробиологическими либо другими биологическими агентами или токсинами</w:t>
      </w:r>
      <w:bookmarkEnd w:id="0"/>
      <w:r>
        <w:rPr>
          <w:rFonts w:ascii="Verdana" w:hAnsi="Verdana"/>
          <w:color w:val="000000"/>
          <w:sz w:val="18"/>
          <w:szCs w:val="18"/>
          <w:shd w:val="clear" w:color="auto" w:fill="FFFFFF"/>
        </w:rPr>
        <w:t xml:space="preserve"> : диссертация ... кандидата юридических наук : 12.00.08 / Андреева Лидия Сергеевна; [Место защиты: Моск. гос. лингвист. ун-т].- Москва, 2014.- 228 с.: ил. РГБ ОД, 61 14-12/360</w:t>
      </w:r>
    </w:p>
    <w:p w14:paraId="376E7C7B" w14:textId="77777777" w:rsidR="008F4613" w:rsidRPr="008F4613" w:rsidRDefault="008F4613" w:rsidP="008F461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F4613">
        <w:rPr>
          <w:rFonts w:ascii="Verdana" w:eastAsia="Times New Roman" w:hAnsi="Verdana" w:cs="Times New Roman"/>
          <w:b/>
          <w:bCs/>
          <w:color w:val="AC370B"/>
          <w:kern w:val="0"/>
          <w:sz w:val="23"/>
          <w:szCs w:val="23"/>
          <w:lang w:eastAsia="ru-RU"/>
        </w:rPr>
        <w:t>Введение к работе</w:t>
      </w:r>
    </w:p>
    <w:p w14:paraId="24AA429E"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Актуальность темы исследования</w:t>
      </w:r>
      <w:r w:rsidRPr="008F4613">
        <w:rPr>
          <w:rFonts w:ascii="Verdana" w:eastAsia="Times New Roman" w:hAnsi="Verdana" w:cs="Times New Roman"/>
          <w:color w:val="000000"/>
          <w:kern w:val="0"/>
          <w:sz w:val="18"/>
          <w:szCs w:val="18"/>
          <w:lang w:eastAsia="ru-RU"/>
        </w:rPr>
        <w:t> обусловлена следующими факторами. Во-первых, возникновение и распространение опасных инфекционных болезней, вызываемых патогенными микроорганизмами, в том числе бактериями, представляет собой серьезный вызов человечеству. Бактерии существуют около 3 млрд. лет, они появились задолго до человека. Это очень старая форма жизни умеет приспосабливаться к абсолютно любым условиям. В середине XIV века бактерии чумы унесли жизнь трети населения Европы. В конце XV века 95 % коренного населения Америки (индейцев) было уничтожено занесёнными европейцами болезнями (грипп, малярия и другие), от которых у них не было иммунитета и средств профилактики. Человечество ничего не знает о 99 % бактерий, населяющих не только Землю, но и нас самих. Патогенные микроорганизмы могут вызвать у человека более 400 известных медицине инфекционных болезней, в числе которых самые опасные: чума, геморрагические лихорадки, натуральная оспа человека, оспа обезьян, энцефалопатия и др.</w:t>
      </w:r>
    </w:p>
    <w:p w14:paraId="32CA6943"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По данным Всемирной организации здравоохранения (ВОЗ) в мире ежегодно умирает от инфекционных болезней, вызванных патогенными микроорганизмами, свыше 16 млн. человек. Ученые подсчитали, что за последние 50 лет в военных конфликтах на земном шаре погибло около 25 млн. человек, в то время как только от 5 инфекций (синдрома приобретенного иммунодефицита, малярии, туберкулеза, гепатитов B и C) умерло свыше 200 млн. человек. ВОЗ считает, что недооценка опасности бактерий и вирусов для национальной безопасности и экономического роста может лишить государства возможности защищать свои народы от этой угрозы.</w:t>
      </w:r>
    </w:p>
    <w:p w14:paraId="1A34FC38"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Во-вторых, рассматриваемая тема находится на стыке биологии, медицины и права. При этом, в биологической (микробиологической) и медицинской (санитарно-эпидемиологической) литературе исследованию патогенных микроорганизмов, а также профилактике и борьбе с инфекционными заболеваниями, вызываемыми ими, уделяется самое серьезное внимание, проводятся многочисленные исследования и эксперименты. Но их результаты до настоящего времени остаются невостребованными юридической наукой и практикой. В биологии и медицине разработано значительное количество нормативно-правовых актов: санитарных правил и норм (СанПиНов), санитарных, ветеринарно-санитарных и санитарно-эпидемиологических правил, методических рекомендаций и указаний, соблюдение которых призвано обеспечить безопасность работы с патогенными микроорганизмами.</w:t>
      </w:r>
    </w:p>
    <w:p w14:paraId="7DBCB1C1"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Состав преступления, предусмотренного ст. 248 УК РФ, использует для обозначения патогенных микроорганизмов, как предмета преступления, термины «</w:t>
      </w:r>
      <w:r w:rsidRPr="008F4613">
        <w:rPr>
          <w:rFonts w:ascii="Verdana" w:eastAsia="Times New Roman" w:hAnsi="Verdana" w:cs="Times New Roman"/>
          <w:i/>
          <w:iCs/>
          <w:color w:val="000000"/>
          <w:kern w:val="0"/>
          <w:sz w:val="18"/>
          <w:szCs w:val="18"/>
          <w:lang w:eastAsia="ru-RU"/>
        </w:rPr>
        <w:t>микробиологический агент</w:t>
      </w:r>
      <w:r w:rsidRPr="008F4613">
        <w:rPr>
          <w:rFonts w:ascii="Verdana" w:eastAsia="Times New Roman" w:hAnsi="Verdana" w:cs="Times New Roman"/>
          <w:color w:val="000000"/>
          <w:kern w:val="0"/>
          <w:sz w:val="18"/>
          <w:szCs w:val="18"/>
          <w:lang w:eastAsia="ru-RU"/>
        </w:rPr>
        <w:t>», «</w:t>
      </w:r>
      <w:r w:rsidRPr="008F4613">
        <w:rPr>
          <w:rFonts w:ascii="Verdana" w:eastAsia="Times New Roman" w:hAnsi="Verdana" w:cs="Times New Roman"/>
          <w:i/>
          <w:iCs/>
          <w:color w:val="000000"/>
          <w:kern w:val="0"/>
          <w:sz w:val="18"/>
          <w:szCs w:val="18"/>
          <w:lang w:eastAsia="ru-RU"/>
        </w:rPr>
        <w:t>биологический агент</w:t>
      </w:r>
      <w:r w:rsidRPr="008F4613">
        <w:rPr>
          <w:rFonts w:ascii="Verdana" w:eastAsia="Times New Roman" w:hAnsi="Verdana" w:cs="Times New Roman"/>
          <w:color w:val="000000"/>
          <w:kern w:val="0"/>
          <w:sz w:val="18"/>
          <w:szCs w:val="18"/>
          <w:lang w:eastAsia="ru-RU"/>
        </w:rPr>
        <w:t>» и «</w:t>
      </w:r>
      <w:r w:rsidRPr="008F4613">
        <w:rPr>
          <w:rFonts w:ascii="Verdana" w:eastAsia="Times New Roman" w:hAnsi="Verdana" w:cs="Times New Roman"/>
          <w:i/>
          <w:iCs/>
          <w:color w:val="000000"/>
          <w:kern w:val="0"/>
          <w:sz w:val="18"/>
          <w:szCs w:val="18"/>
          <w:lang w:eastAsia="ru-RU"/>
        </w:rPr>
        <w:t>токсин</w:t>
      </w:r>
      <w:r w:rsidRPr="008F4613">
        <w:rPr>
          <w:rFonts w:ascii="Verdana" w:eastAsia="Times New Roman" w:hAnsi="Verdana" w:cs="Times New Roman"/>
          <w:color w:val="000000"/>
          <w:kern w:val="0"/>
          <w:sz w:val="18"/>
          <w:szCs w:val="18"/>
          <w:lang w:eastAsia="ru-RU"/>
        </w:rPr>
        <w:t>» (МБА, БА и Т). Однако с точки зрения биологии и медицины указанная терминология является неточной, деление микроорганизмов на МБА, БА и Т в них не применяется, а вместо указанных используются термины «</w:t>
      </w:r>
      <w:r w:rsidRPr="008F4613">
        <w:rPr>
          <w:rFonts w:ascii="Verdana" w:eastAsia="Times New Roman" w:hAnsi="Verdana" w:cs="Times New Roman"/>
          <w:i/>
          <w:iCs/>
          <w:color w:val="000000"/>
          <w:kern w:val="0"/>
          <w:sz w:val="18"/>
          <w:szCs w:val="18"/>
          <w:lang w:eastAsia="ru-RU"/>
        </w:rPr>
        <w:t>патогенный микроорганизм</w:t>
      </w:r>
      <w:r w:rsidRPr="008F4613">
        <w:rPr>
          <w:rFonts w:ascii="Verdana" w:eastAsia="Times New Roman" w:hAnsi="Verdana" w:cs="Times New Roman"/>
          <w:color w:val="000000"/>
          <w:kern w:val="0"/>
          <w:sz w:val="18"/>
          <w:szCs w:val="18"/>
          <w:lang w:eastAsia="ru-RU"/>
        </w:rPr>
        <w:t>» (</w:t>
      </w:r>
      <w:r w:rsidRPr="008F4613">
        <w:rPr>
          <w:rFonts w:ascii="Verdana" w:eastAsia="Times New Roman" w:hAnsi="Verdana" w:cs="Times New Roman"/>
          <w:i/>
          <w:iCs/>
          <w:color w:val="000000"/>
          <w:kern w:val="0"/>
          <w:sz w:val="18"/>
          <w:szCs w:val="18"/>
          <w:lang w:eastAsia="ru-RU"/>
        </w:rPr>
        <w:t>ПМ</w:t>
      </w:r>
      <w:r w:rsidRPr="008F4613">
        <w:rPr>
          <w:rFonts w:ascii="Verdana" w:eastAsia="Times New Roman" w:hAnsi="Verdana" w:cs="Times New Roman"/>
          <w:color w:val="000000"/>
          <w:kern w:val="0"/>
          <w:sz w:val="18"/>
          <w:szCs w:val="18"/>
          <w:lang w:eastAsia="ru-RU"/>
        </w:rPr>
        <w:t>) и его синоним «</w:t>
      </w:r>
      <w:r w:rsidRPr="008F4613">
        <w:rPr>
          <w:rFonts w:ascii="Verdana" w:eastAsia="Times New Roman" w:hAnsi="Verdana" w:cs="Times New Roman"/>
          <w:i/>
          <w:iCs/>
          <w:color w:val="000000"/>
          <w:kern w:val="0"/>
          <w:sz w:val="18"/>
          <w:szCs w:val="18"/>
          <w:lang w:eastAsia="ru-RU"/>
        </w:rPr>
        <w:t>патогенный биологический агент</w:t>
      </w:r>
      <w:r w:rsidRPr="008F4613">
        <w:rPr>
          <w:rFonts w:ascii="Verdana" w:eastAsia="Times New Roman" w:hAnsi="Verdana" w:cs="Times New Roman"/>
          <w:color w:val="000000"/>
          <w:kern w:val="0"/>
          <w:sz w:val="18"/>
          <w:szCs w:val="18"/>
          <w:lang w:eastAsia="ru-RU"/>
        </w:rPr>
        <w:t>» (ПБА). Они классифицируются: а) </w:t>
      </w:r>
      <w:r w:rsidRPr="008F4613">
        <w:rPr>
          <w:rFonts w:ascii="Verdana" w:eastAsia="Times New Roman" w:hAnsi="Verdana" w:cs="Times New Roman"/>
          <w:i/>
          <w:iCs/>
          <w:color w:val="000000"/>
          <w:kern w:val="0"/>
          <w:sz w:val="18"/>
          <w:szCs w:val="18"/>
          <w:lang w:eastAsia="ru-RU"/>
        </w:rPr>
        <w:t>по степени патогенности</w:t>
      </w:r>
      <w:r w:rsidRPr="008F4613">
        <w:rPr>
          <w:rFonts w:ascii="Verdana" w:eastAsia="Times New Roman" w:hAnsi="Verdana" w:cs="Times New Roman"/>
          <w:color w:val="000000"/>
          <w:kern w:val="0"/>
          <w:sz w:val="18"/>
          <w:szCs w:val="18"/>
          <w:lang w:eastAsia="ru-RU"/>
        </w:rPr>
        <w:t> - на микроорганизмы I, II, III и IV групп патогенности и б) </w:t>
      </w:r>
      <w:r w:rsidRPr="008F4613">
        <w:rPr>
          <w:rFonts w:ascii="Verdana" w:eastAsia="Times New Roman" w:hAnsi="Verdana" w:cs="Times New Roman"/>
          <w:i/>
          <w:iCs/>
          <w:color w:val="000000"/>
          <w:kern w:val="0"/>
          <w:sz w:val="18"/>
          <w:szCs w:val="18"/>
          <w:lang w:eastAsia="ru-RU"/>
        </w:rPr>
        <w:t>по биологической природе</w:t>
      </w:r>
      <w:r w:rsidRPr="008F4613">
        <w:rPr>
          <w:rFonts w:ascii="Verdana" w:eastAsia="Times New Roman" w:hAnsi="Verdana" w:cs="Times New Roman"/>
          <w:color w:val="000000"/>
          <w:kern w:val="0"/>
          <w:sz w:val="18"/>
          <w:szCs w:val="18"/>
          <w:lang w:eastAsia="ru-RU"/>
        </w:rPr>
        <w:t> - на бактерии, риккетсии, эрлихии, вирусы, хламидии, грибы, простейшие, гельминты, членистоногие, токсины – всего 10 видов. Указанное терминологическое противоречие нуждается в анализе и смысловом разрешении.</w:t>
      </w:r>
    </w:p>
    <w:p w14:paraId="4AFC28E8"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До настоящего времени в юридической науке специального научного исследования, посвященного терминологическому анализу, а также комплексному анализу мер уголовно-правовой защиты от возможных нарушений правил безопасности при обращении с МБА, БА и Т, не предпринималось. Состав преступления, предусмотренный ст. 248 УК РФ, исследовался лишь на уровне комментариев к уголовному кодексу РФ и в учебной литературе.</w:t>
      </w:r>
    </w:p>
    <w:p w14:paraId="46BA266B"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В-третьих, в 1993 году в Уголовный кодекс РСФСР впервые в истории российского уголовного права была включена норма, устанавливающая уголовную ответственность за нарушение правил безопасности при обращении с МБА, БА и Т (ст. 222</w:t>
      </w:r>
      <w:r w:rsidRPr="008F4613">
        <w:rPr>
          <w:rFonts w:ascii="Verdana" w:eastAsia="Times New Roman" w:hAnsi="Verdana" w:cs="Times New Roman"/>
          <w:color w:val="000000"/>
          <w:kern w:val="0"/>
          <w:sz w:val="18"/>
          <w:szCs w:val="18"/>
          <w:vertAlign w:val="superscript"/>
          <w:lang w:eastAsia="ru-RU"/>
        </w:rPr>
        <w:t>1</w:t>
      </w:r>
      <w:r w:rsidRPr="008F4613">
        <w:rPr>
          <w:rFonts w:ascii="Verdana" w:eastAsia="Times New Roman" w:hAnsi="Verdana" w:cs="Times New Roman"/>
          <w:color w:val="000000"/>
          <w:kern w:val="0"/>
          <w:sz w:val="18"/>
          <w:szCs w:val="18"/>
          <w:lang w:eastAsia="ru-RU"/>
        </w:rPr>
        <w:t xml:space="preserve"> УК РСФСР). Сохранена указанная норма и в УК РФ 1996 года (ст. 248 УК РФ). Однако данные судебной статистики свидетельствуют о том, что она </w:t>
      </w:r>
      <w:r w:rsidRPr="008F4613">
        <w:rPr>
          <w:rFonts w:ascii="Verdana" w:eastAsia="Times New Roman" w:hAnsi="Verdana" w:cs="Times New Roman"/>
          <w:color w:val="000000"/>
          <w:kern w:val="0"/>
          <w:sz w:val="18"/>
          <w:szCs w:val="18"/>
          <w:lang w:eastAsia="ru-RU"/>
        </w:rPr>
        <w:lastRenderedPageBreak/>
        <w:t>фактически не применяется на практике. Согласно данным о судимости за последние 15 лет по ст. 248 УК РФ были осуждены в 1998 году и в 2004 году по одному человеку. В 1999-2003 и 2005-2013 гг. осужденных по данной статье УК РФ не было.</w:t>
      </w:r>
    </w:p>
    <w:p w14:paraId="6E60C46A"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В то же время, согласно данным медицинской статистики, в указанный период имелись случаи вспышек инфекционных заболеваний, вызванных штаммами патогенных микроорганизмов. Так, только в 2012 году по данным Федерального центра гигиены и эпидемиологии Федеральной службы по надзору в сфере защиты прав потребителей и благополучия человека (Роспотребнадзора) в России выявлены заболевания: сибирской язвой – 7 случаев, туляремией - 128 случаев (рост заболеваемости туляремией в 2,4 раза по сравнению с 2011 годом), клещевым вирусным энцефалитом – 2732 случаев, клещевым боррелиозом – 8286 случаев, лихорадкой Ку - 190 случаев (число заболеваний лихорадкой Ку выросло на 47,5% по сравнению с 2011 годом), геморрагическими лихорадками - 7364, из них: лихорадкой Западного Нила – 454, Крымской геморрагической лихорадкой – 74, геморрагической лихорадкой с почечным синдромом – 6794. Эти инфекционные заболевания в медицине считаются одними из самых опасных. Указанное противоречие в данных медицинской и судебной статистики нуждается в научном осмыслении.</w:t>
      </w:r>
    </w:p>
    <w:p w14:paraId="115C05C8"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В-четвертых, рост террористической угрозы в мире, в том числе повышение риска использования террористами биологического оружия, требует усиления контроля за соблюдением правил безопасности при обращении с МБА, БА и Т со стороны надзорных и правоохранительных органов.</w:t>
      </w:r>
    </w:p>
    <w:p w14:paraId="12567318"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Все это и характеризует актуальность предпринятого диссертационного исследования.</w:t>
      </w:r>
    </w:p>
    <w:p w14:paraId="198A245B"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Степень научной разработанности темы.</w:t>
      </w:r>
      <w:r w:rsidRPr="008F4613">
        <w:rPr>
          <w:rFonts w:ascii="Verdana" w:eastAsia="Times New Roman" w:hAnsi="Verdana" w:cs="Times New Roman"/>
          <w:color w:val="000000"/>
          <w:kern w:val="0"/>
          <w:sz w:val="18"/>
          <w:szCs w:val="18"/>
          <w:lang w:eastAsia="ru-RU"/>
        </w:rPr>
        <w:t> Данная тема является недостаточно исследованной в уголовном праве. Признаки ст. 248 УК РФ анализировались лишь в комментариях к УК РФ и учебной литературе в следующими авторами: С.А. Боголюбовым, М.М. Бринчуком, Б.В. Яцеленко, М.И. Веревичевой, Н.И. Ветровым, Е.В. Виноградовой, О.Л. Дубовик, Э.Н. Жевлаковым, Н.А. Лопашенко, А.В. Наумовым, Ю.И. Ляпуновым, Н.Л. Романовой.</w:t>
      </w:r>
    </w:p>
    <w:p w14:paraId="63A17938"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Объект и предмет исследования.</w:t>
      </w:r>
      <w:r w:rsidRPr="008F4613">
        <w:rPr>
          <w:rFonts w:ascii="Verdana" w:eastAsia="Times New Roman" w:hAnsi="Verdana" w:cs="Times New Roman"/>
          <w:color w:val="000000"/>
          <w:kern w:val="0"/>
          <w:sz w:val="18"/>
          <w:szCs w:val="18"/>
          <w:lang w:eastAsia="ru-RU"/>
        </w:rPr>
        <w:t> Объектом настоящего исследования является совокупность уголовно-правовых отношений, возникающих в связи с установлением и реализацией уголовно-правовой ответственности за преступления, связанные с нарушением правил безопасности при обращении с МБА, БА и Т.</w:t>
      </w:r>
    </w:p>
    <w:p w14:paraId="44B44218"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Предметом исследования являются уголовно-правовые нормы отечественного и зарубежного законодательства, предусматривающие уголовную ответственность за нарушение правил безопасности при обращении с МБА, БА и Т.</w:t>
      </w:r>
    </w:p>
    <w:p w14:paraId="52586A02"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Особенность объекта и предмета исследования состоит в том, что они находятся на стыке наук: биологии, медицины и права (более узко – санитарного (санитарно-эпидемиологического) права и уголовного права), и это обусловило как специфику теоретического подхода к проведению исследования, так и выбор методов исследования и направления реализации его результатов.</w:t>
      </w:r>
    </w:p>
    <w:p w14:paraId="24E7C005"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Цель и задачи исследования.</w:t>
      </w:r>
      <w:r w:rsidRPr="008F4613">
        <w:rPr>
          <w:rFonts w:ascii="Verdana" w:eastAsia="Times New Roman" w:hAnsi="Verdana" w:cs="Times New Roman"/>
          <w:color w:val="000000"/>
          <w:kern w:val="0"/>
          <w:sz w:val="18"/>
          <w:szCs w:val="18"/>
          <w:lang w:eastAsia="ru-RU"/>
        </w:rPr>
        <w:t> Целью настоящего исследования является определение конструктивных признаков и особенностей состава преступления - нарушения правил безопасности при обращении с МБА, БА и Т, анализ современного состояния уголовно-правовой защиты при обращении с патогенными микроорганизмами, а также разработка на этой основе рекомендаций по совершенствованию уголовно-правовых мер борьбы с нарушением правил безопасности в этой сфере.</w:t>
      </w:r>
    </w:p>
    <w:p w14:paraId="69BE4BDE"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Достижение поставленной цели обеспечивается решением следующих задач:</w:t>
      </w:r>
    </w:p>
    <w:p w14:paraId="44716B80"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изучить проявление и степень общественной опасности при работе с патогенными микроорганизмами;</w:t>
      </w:r>
    </w:p>
    <w:p w14:paraId="4E35DDE6"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изучить историю становления и современное правовое регулирование безопасного обращения с патогенными микроорганизмами;</w:t>
      </w:r>
    </w:p>
    <w:p w14:paraId="038E9694"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xml:space="preserve">- исследовать положения уголовного законодательства зарубежных стран об уголовной ответственности за нарушения правил безопасности при обращении с патогенными </w:t>
      </w:r>
      <w:r w:rsidRPr="008F4613">
        <w:rPr>
          <w:rFonts w:ascii="Verdana" w:eastAsia="Times New Roman" w:hAnsi="Verdana" w:cs="Times New Roman"/>
          <w:color w:val="000000"/>
          <w:kern w:val="0"/>
          <w:sz w:val="18"/>
          <w:szCs w:val="18"/>
          <w:lang w:eastAsia="ru-RU"/>
        </w:rPr>
        <w:lastRenderedPageBreak/>
        <w:t>микроорганизмами и провести сравнительно-правовое исследование уголовно-правовых норм об ответственности за данный вид преступления;</w:t>
      </w:r>
    </w:p>
    <w:p w14:paraId="10334CF6"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исследовать предмет преступления, предусмотренного ст. 248 УК РФ, провести сравнительный анализ терминологии уголовного закона (применительно к ст. 248 УК РФ) и санитарного законодательства, устранить терминологические противоречия между ними;</w:t>
      </w:r>
    </w:p>
    <w:p w14:paraId="1B1C3EC1"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исследовать объективную сторону преступления, предусмотренного ст. 248 УК РФ, проанализировать понятия «</w:t>
      </w:r>
      <w:r w:rsidRPr="008F4613">
        <w:rPr>
          <w:rFonts w:ascii="Verdana" w:eastAsia="Times New Roman" w:hAnsi="Verdana" w:cs="Times New Roman"/>
          <w:i/>
          <w:iCs/>
          <w:color w:val="000000"/>
          <w:kern w:val="0"/>
          <w:sz w:val="18"/>
          <w:szCs w:val="18"/>
          <w:lang w:eastAsia="ru-RU"/>
        </w:rPr>
        <w:t>обращение с МБА, БА и Т</w:t>
      </w:r>
      <w:r w:rsidRPr="008F4613">
        <w:rPr>
          <w:rFonts w:ascii="Verdana" w:eastAsia="Times New Roman" w:hAnsi="Verdana" w:cs="Times New Roman"/>
          <w:color w:val="000000"/>
          <w:kern w:val="0"/>
          <w:sz w:val="18"/>
          <w:szCs w:val="18"/>
          <w:lang w:eastAsia="ru-RU"/>
        </w:rPr>
        <w:t>», «</w:t>
      </w:r>
      <w:r w:rsidRPr="008F4613">
        <w:rPr>
          <w:rFonts w:ascii="Verdana" w:eastAsia="Times New Roman" w:hAnsi="Verdana" w:cs="Times New Roman"/>
          <w:i/>
          <w:iCs/>
          <w:color w:val="000000"/>
          <w:kern w:val="0"/>
          <w:sz w:val="18"/>
          <w:szCs w:val="18"/>
          <w:lang w:eastAsia="ru-RU"/>
        </w:rPr>
        <w:t>безопасность обращения с МБА, БА и Т</w:t>
      </w:r>
      <w:r w:rsidRPr="008F4613">
        <w:rPr>
          <w:rFonts w:ascii="Verdana" w:eastAsia="Times New Roman" w:hAnsi="Verdana" w:cs="Times New Roman"/>
          <w:color w:val="000000"/>
          <w:kern w:val="0"/>
          <w:sz w:val="18"/>
          <w:szCs w:val="18"/>
          <w:lang w:eastAsia="ru-RU"/>
        </w:rPr>
        <w:t>», «</w:t>
      </w:r>
      <w:r w:rsidRPr="008F4613">
        <w:rPr>
          <w:rFonts w:ascii="Verdana" w:eastAsia="Times New Roman" w:hAnsi="Verdana" w:cs="Times New Roman"/>
          <w:i/>
          <w:iCs/>
          <w:color w:val="000000"/>
          <w:kern w:val="0"/>
          <w:sz w:val="18"/>
          <w:szCs w:val="18"/>
          <w:lang w:eastAsia="ru-RU"/>
        </w:rPr>
        <w:t>правила безопасности при обращении с МБА, БА и Т</w:t>
      </w:r>
      <w:r w:rsidRPr="008F4613">
        <w:rPr>
          <w:rFonts w:ascii="Verdana" w:eastAsia="Times New Roman" w:hAnsi="Verdana" w:cs="Times New Roman"/>
          <w:color w:val="000000"/>
          <w:kern w:val="0"/>
          <w:sz w:val="18"/>
          <w:szCs w:val="18"/>
          <w:lang w:eastAsia="ru-RU"/>
        </w:rPr>
        <w:t>», механизм развития причинной связи в данном преступлении;</w:t>
      </w:r>
    </w:p>
    <w:p w14:paraId="25A02D3C"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определить лиц, которые могут быть признаны субъектами преступления, предусмотренного ст. 248 УК РФ;</w:t>
      </w:r>
    </w:p>
    <w:p w14:paraId="0CF41657"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проанализировать особенности субъективной стороны данного преступления;</w:t>
      </w:r>
    </w:p>
    <w:p w14:paraId="0B09BC49"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выработать рекомендации по совершенствованию уголовно-правовых мер борьбы с нарушением правил безопасности при обращении с МБА, БА и Т.</w:t>
      </w:r>
    </w:p>
    <w:p w14:paraId="0F88E43C"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Методология и методика исследования.</w:t>
      </w:r>
      <w:r w:rsidRPr="008F4613">
        <w:rPr>
          <w:rFonts w:ascii="Verdana" w:eastAsia="Times New Roman" w:hAnsi="Verdana" w:cs="Times New Roman"/>
          <w:color w:val="000000"/>
          <w:kern w:val="0"/>
          <w:sz w:val="18"/>
          <w:szCs w:val="18"/>
          <w:lang w:eastAsia="ru-RU"/>
        </w:rPr>
        <w:t> Методологическую основу исследования составляет диалектический метод познания. Он позволил рассмотреть изучаемые процессы в их историческом развитии и социальной взаимосвязи. В процессе работы также использовались методы социолого-правового исследования, такие как: системный, структурно-функциональный, формально-юридический, исторический, сравнительный анализ, статистический, логический и другие методы, применение которых диктовалось спецификой объекта и предмета исследования.</w:t>
      </w:r>
    </w:p>
    <w:p w14:paraId="11A88F9E"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Теоретическую основу</w:t>
      </w:r>
      <w:r w:rsidRPr="008F4613">
        <w:rPr>
          <w:rFonts w:ascii="Verdana" w:eastAsia="Times New Roman" w:hAnsi="Verdana" w:cs="Times New Roman"/>
          <w:color w:val="000000"/>
          <w:kern w:val="0"/>
          <w:sz w:val="18"/>
          <w:szCs w:val="18"/>
          <w:lang w:eastAsia="ru-RU"/>
        </w:rPr>
        <w:t> диссертационного исследования составили труды ученых как в области теории уголовного права и квалификации преступлений: Е.В. Виноградовой, О.Л. Дубовик, Э.Н. Жевлакова, В.Н. Кудрявцева, А.С. Михлина, А.В. Наумова, В. И. Радченко, А.А. Тер-Акопова, так и в области микробиологии и санитарного (санитарно-эпидемиологического) права: Ю. Д. Гурочкина, Г. Б. Дерягина, О.Н. Доброхотского, Л.В. Кочорова, О.К. Поздеева, В.И. Покровского, С.Ю. Сашко, Е.А. Ставского, Е. Ю. Яценко.</w:t>
      </w:r>
    </w:p>
    <w:p w14:paraId="0A9A4E42"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Также автор опирался на труды ученых, которые занимались исследованием уголовной ответственности за нарушение специальных правил поведения в различных областях: Т.А. Давыдовой, А. А. Евдокимова, О.Л. Радчик, А.С. Самойлова, И.В. Щербининой, В.Ю. Ряднева и др.</w:t>
      </w:r>
    </w:p>
    <w:p w14:paraId="5CB8F3BF"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Нормативная основа</w:t>
      </w:r>
      <w:r w:rsidRPr="008F4613">
        <w:rPr>
          <w:rFonts w:ascii="Verdana" w:eastAsia="Times New Roman" w:hAnsi="Verdana" w:cs="Times New Roman"/>
          <w:color w:val="000000"/>
          <w:kern w:val="0"/>
          <w:sz w:val="18"/>
          <w:szCs w:val="18"/>
          <w:lang w:eastAsia="ru-RU"/>
        </w:rPr>
        <w:t> диссертации представлена уголовным законодательством Российской Федерации и 27 зарубежных стран, международными конвенциями, руководствами ВОЗ, федеральными законами, указами Президента РФ, постановлениями Правительства РФ, санитарными правилами и нормами (СанПиНами), санитарными правилами, санитарно-эпидемиологичес-кими правилами, а также ветеринарно-санитарными правилами, утвержденными Федеральной службой по надзору в сфере защиты прав потребителей и благополучия человека (Роспотребнадзором) или Главным государственным санитарным врачом РФ. Общее количество нормативно-правовых актов и руководящих методических указаний в рассматриваемой сфере составляет 62 документа.</w:t>
      </w:r>
    </w:p>
    <w:p w14:paraId="3E6BC1F3"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Эмпирическую базу</w:t>
      </w:r>
      <w:r w:rsidRPr="008F4613">
        <w:rPr>
          <w:rFonts w:ascii="Verdana" w:eastAsia="Times New Roman" w:hAnsi="Verdana" w:cs="Times New Roman"/>
          <w:color w:val="000000"/>
          <w:kern w:val="0"/>
          <w:sz w:val="18"/>
          <w:szCs w:val="18"/>
          <w:lang w:eastAsia="ru-RU"/>
        </w:rPr>
        <w:t> исследования составили официальная уголовная статистика, медицинская статистика (данные Федеральной службы по надзору в сфере защиты прав потребителей и благополучия человека (Роспотребнадзора) и Министерства здравоохранения РФ), а также результаты эмпирических исследований, проведенных учеными в области микробиологии.</w:t>
      </w:r>
    </w:p>
    <w:p w14:paraId="46FC5FC4"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Кроме того, автором по специально разработанным анкетам проведен опрос 53 сотрудников природоохранной прокуратуры, занимающихся предупреждением экологических правонарушений, и 23 сотрудника лабораторий, работающих с патогенными микроорганизмами.</w:t>
      </w:r>
    </w:p>
    <w:p w14:paraId="5AF2CFE6"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Научная новизна</w:t>
      </w:r>
      <w:r w:rsidRPr="008F4613">
        <w:rPr>
          <w:rFonts w:ascii="Verdana" w:eastAsia="Times New Roman" w:hAnsi="Verdana" w:cs="Times New Roman"/>
          <w:color w:val="000000"/>
          <w:kern w:val="0"/>
          <w:sz w:val="18"/>
          <w:szCs w:val="18"/>
          <w:lang w:eastAsia="ru-RU"/>
        </w:rPr>
        <w:t xml:space="preserve"> диссертации обусловлена тем, что это первое в российском уголовном праве комплексное исследование состава преступления, предусмотренного ст. 248 УК РФ, - нарушения правил безопасности при обращении с МБА, БА и Т. До сегодняшнего дня подобных исследований </w:t>
      </w:r>
      <w:r w:rsidRPr="008F4613">
        <w:rPr>
          <w:rFonts w:ascii="Verdana" w:eastAsia="Times New Roman" w:hAnsi="Verdana" w:cs="Times New Roman"/>
          <w:color w:val="000000"/>
          <w:kern w:val="0"/>
          <w:sz w:val="18"/>
          <w:szCs w:val="18"/>
          <w:lang w:eastAsia="ru-RU"/>
        </w:rPr>
        <w:lastRenderedPageBreak/>
        <w:t>не проводилось. В ходе работы автору удалось раскрыть и по-новому сформулировать содержание общественной опасности, объекта и предмета нарушения правил безопасности при обращении с патогенными микроорганизмами, объективной стороны и субъекта исследуемого преступления. Разработаны и сформулированы основные направления совершенствования уголовно-правовой защиты от распространения особо опасных инфекций.</w:t>
      </w:r>
    </w:p>
    <w:p w14:paraId="301E8166"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Более конкретно новизна сформулированных автором теоретических выводов и предложений представлена </w:t>
      </w:r>
      <w:r w:rsidRPr="008F4613">
        <w:rPr>
          <w:rFonts w:ascii="Verdana" w:eastAsia="Times New Roman" w:hAnsi="Verdana" w:cs="Times New Roman"/>
          <w:b/>
          <w:bCs/>
          <w:color w:val="000000"/>
          <w:kern w:val="0"/>
          <w:sz w:val="18"/>
          <w:szCs w:val="18"/>
          <w:lang w:eastAsia="ru-RU"/>
        </w:rPr>
        <w:t>в следующих положениях, выносимых на защиту</w:t>
      </w:r>
      <w:r w:rsidRPr="008F4613">
        <w:rPr>
          <w:rFonts w:ascii="Verdana" w:eastAsia="Times New Roman" w:hAnsi="Verdana" w:cs="Times New Roman"/>
          <w:color w:val="000000"/>
          <w:kern w:val="0"/>
          <w:sz w:val="18"/>
          <w:szCs w:val="18"/>
          <w:lang w:eastAsia="ru-RU"/>
        </w:rPr>
        <w:t>:</w:t>
      </w:r>
    </w:p>
    <w:p w14:paraId="1D56ED8A"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1. Объектом преступления, предусмотренного ст. 248 УК РФ, является </w:t>
      </w:r>
      <w:r w:rsidRPr="008F4613">
        <w:rPr>
          <w:rFonts w:ascii="Verdana" w:eastAsia="Times New Roman" w:hAnsi="Verdana" w:cs="Times New Roman"/>
          <w:i/>
          <w:iCs/>
          <w:color w:val="000000"/>
          <w:kern w:val="0"/>
          <w:sz w:val="18"/>
          <w:szCs w:val="18"/>
          <w:lang w:eastAsia="ru-RU"/>
        </w:rPr>
        <w:t>биологическая безопасность</w:t>
      </w:r>
      <w:r w:rsidRPr="008F4613">
        <w:rPr>
          <w:rFonts w:ascii="Verdana" w:eastAsia="Times New Roman" w:hAnsi="Verdana" w:cs="Times New Roman"/>
          <w:color w:val="000000"/>
          <w:kern w:val="0"/>
          <w:sz w:val="18"/>
          <w:szCs w:val="18"/>
          <w:lang w:eastAsia="ru-RU"/>
        </w:rPr>
        <w:t>, представляющая собой состояние защищенности населения и окружающей среды от биологических угроз, связанных с обращением патогенных микроорганизмов I и II групп патогенности, которое осуществляется микробиологическими лабораториями, функционирующими на базе противочумных научно-исследовательских институтов, противочумных станций и центров гигиены и эпидемиологии федерального и регионального уровня.</w:t>
      </w:r>
    </w:p>
    <w:p w14:paraId="2AE3858D"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Патогенные биологические агенты III и IV группы патогенности не несут биологических угроз и не влияют на биологическую безопасность. Защищенность от них уголовно-правовыми мерами не предусматривается, а обеспечивается гражданско-правовыми мерами (институтом ответственности за причинение вреда по ст.ст. 1064-1098 ГК РФ), либо административно-правовыми мерами (санитарно-эпидемиологическим надзором, карантинами, принудительной изоляцией источников распространения инфекционных заболеваний и др., а также установлением административной ответственности в ст. ст. 6.3, 6.5, 6.6 КоАП РФ).</w:t>
      </w:r>
    </w:p>
    <w:p w14:paraId="75873176"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2. Конструкция нормы об уголовной ответственности за нарушение правил безопасности при обращении с МБА, БА и Т является бланкетной. Содержание ее конструктивных признаков раскрывается в нормативно-правовых актах санитарного (санитарно-эпидемиологического) законодательства, регулирующих </w:t>
      </w:r>
      <w:r w:rsidRPr="008F4613">
        <w:rPr>
          <w:rFonts w:ascii="Verdana" w:eastAsia="Times New Roman" w:hAnsi="Verdana" w:cs="Times New Roman"/>
          <w:i/>
          <w:iCs/>
          <w:color w:val="000000"/>
          <w:kern w:val="0"/>
          <w:sz w:val="18"/>
          <w:szCs w:val="18"/>
          <w:lang w:eastAsia="ru-RU"/>
        </w:rPr>
        <w:t>правила обращения</w:t>
      </w:r>
      <w:r w:rsidRPr="008F4613">
        <w:rPr>
          <w:rFonts w:ascii="Verdana" w:eastAsia="Times New Roman" w:hAnsi="Verdana" w:cs="Times New Roman"/>
          <w:color w:val="000000"/>
          <w:kern w:val="0"/>
          <w:sz w:val="18"/>
          <w:szCs w:val="18"/>
          <w:lang w:eastAsia="ru-RU"/>
        </w:rPr>
        <w:t> с патогенными микроорганизмами, общее количество которых на данный момент составляет 62. Из них 25 нормативно-правовых актов регулируют правила обращения с патогенными микроорганизмами I и II групп патогенности.</w:t>
      </w:r>
    </w:p>
    <w:p w14:paraId="5E816165"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i/>
          <w:iCs/>
          <w:color w:val="000000"/>
          <w:kern w:val="0"/>
          <w:sz w:val="18"/>
          <w:szCs w:val="18"/>
          <w:lang w:eastAsia="ru-RU"/>
        </w:rPr>
        <w:t>Правила безопасности при обращении</w:t>
      </w:r>
      <w:r w:rsidRPr="008F4613">
        <w:rPr>
          <w:rFonts w:ascii="Verdana" w:eastAsia="Times New Roman" w:hAnsi="Verdana" w:cs="Times New Roman"/>
          <w:color w:val="000000"/>
          <w:kern w:val="0"/>
          <w:sz w:val="18"/>
          <w:szCs w:val="18"/>
          <w:lang w:eastAsia="ru-RU"/>
        </w:rPr>
        <w:t> с патогенными микроорганизмами I и II групп патогенности содержатся в следующих </w:t>
      </w:r>
      <w:r w:rsidRPr="008F4613">
        <w:rPr>
          <w:rFonts w:ascii="Verdana" w:eastAsia="Times New Roman" w:hAnsi="Verdana" w:cs="Times New Roman"/>
          <w:i/>
          <w:iCs/>
          <w:color w:val="000000"/>
          <w:kern w:val="0"/>
          <w:sz w:val="18"/>
          <w:szCs w:val="18"/>
          <w:lang w:eastAsia="ru-RU"/>
        </w:rPr>
        <w:t>пяти</w:t>
      </w:r>
      <w:r w:rsidRPr="008F4613">
        <w:rPr>
          <w:rFonts w:ascii="Verdana" w:eastAsia="Times New Roman" w:hAnsi="Verdana" w:cs="Times New Roman"/>
          <w:color w:val="000000"/>
          <w:kern w:val="0"/>
          <w:sz w:val="18"/>
          <w:szCs w:val="18"/>
          <w:lang w:eastAsia="ru-RU"/>
        </w:rPr>
        <w:t> нормативно-правовых актах санитарного (санитарно-эпидемиологического) законодательства:</w:t>
      </w:r>
    </w:p>
    <w:p w14:paraId="24823E54"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Санитарно-эпидемиологических правилах СП 1.3.1285-03 «Безопасность работы с микроорганизмами I-II групп патогенности (опасности)»;</w:t>
      </w:r>
    </w:p>
    <w:p w14:paraId="339DDFCD"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Санитарных правилах СП 1.2.036-95 «Порядок учета, хранения, передачи и транспортирования микроорганизмов I - IV групп патогенности»;</w:t>
      </w:r>
    </w:p>
    <w:p w14:paraId="4A9F99A8"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Санитарно-эпидемиологических правилах СП 1.2.1318-03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генно-инженерно-модифицированными микроорганизмами, ядами биологического происхождения и гельминтами»;</w:t>
      </w:r>
    </w:p>
    <w:p w14:paraId="67D6A83B"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Санитарно-эпидемиологических правилах СП 1.3.2628-10 «Требования к организации работ с аэрозолями микроорганизмов I - II групп патогенности (опасности)»;</w:t>
      </w:r>
    </w:p>
    <w:p w14:paraId="3100D659"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Санитарных правилах и нормах СанПиН 2.1.7.2790-10 «Санитарно-эпидемиологические требования к обращению с медицинскими отходами».</w:t>
      </w:r>
    </w:p>
    <w:p w14:paraId="082BD1ED"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3. В силу бланкетности ст. 248 УК РФ уяснение и правильное применение признаков состава преступления, предусмотренного ею, невозможно без обращения к конкретным статьям санитарных правил и норм (СанПиН), санитарных и санитарно-эпидемиологических правил, которые вместо терминов «</w:t>
      </w:r>
      <w:r w:rsidRPr="008F4613">
        <w:rPr>
          <w:rFonts w:ascii="Verdana" w:eastAsia="Times New Roman" w:hAnsi="Verdana" w:cs="Times New Roman"/>
          <w:i/>
          <w:iCs/>
          <w:color w:val="000000"/>
          <w:kern w:val="0"/>
          <w:sz w:val="18"/>
          <w:szCs w:val="18"/>
          <w:lang w:eastAsia="ru-RU"/>
        </w:rPr>
        <w:t>микробиологический агент</w:t>
      </w:r>
      <w:r w:rsidRPr="008F4613">
        <w:rPr>
          <w:rFonts w:ascii="Verdana" w:eastAsia="Times New Roman" w:hAnsi="Verdana" w:cs="Times New Roman"/>
          <w:color w:val="000000"/>
          <w:kern w:val="0"/>
          <w:sz w:val="18"/>
          <w:szCs w:val="18"/>
          <w:lang w:eastAsia="ru-RU"/>
        </w:rPr>
        <w:t>», «</w:t>
      </w:r>
      <w:r w:rsidRPr="008F4613">
        <w:rPr>
          <w:rFonts w:ascii="Verdana" w:eastAsia="Times New Roman" w:hAnsi="Verdana" w:cs="Times New Roman"/>
          <w:i/>
          <w:iCs/>
          <w:color w:val="000000"/>
          <w:kern w:val="0"/>
          <w:sz w:val="18"/>
          <w:szCs w:val="18"/>
          <w:lang w:eastAsia="ru-RU"/>
        </w:rPr>
        <w:t>биологический агент</w:t>
      </w:r>
      <w:r w:rsidRPr="008F4613">
        <w:rPr>
          <w:rFonts w:ascii="Verdana" w:eastAsia="Times New Roman" w:hAnsi="Verdana" w:cs="Times New Roman"/>
          <w:color w:val="000000"/>
          <w:kern w:val="0"/>
          <w:sz w:val="18"/>
          <w:szCs w:val="18"/>
          <w:lang w:eastAsia="ru-RU"/>
        </w:rPr>
        <w:t>» и «</w:t>
      </w:r>
      <w:r w:rsidRPr="008F4613">
        <w:rPr>
          <w:rFonts w:ascii="Verdana" w:eastAsia="Times New Roman" w:hAnsi="Verdana" w:cs="Times New Roman"/>
          <w:i/>
          <w:iCs/>
          <w:color w:val="000000"/>
          <w:kern w:val="0"/>
          <w:sz w:val="18"/>
          <w:szCs w:val="18"/>
          <w:lang w:eastAsia="ru-RU"/>
        </w:rPr>
        <w:t>токсин</w:t>
      </w:r>
      <w:r w:rsidRPr="008F4613">
        <w:rPr>
          <w:rFonts w:ascii="Verdana" w:eastAsia="Times New Roman" w:hAnsi="Verdana" w:cs="Times New Roman"/>
          <w:color w:val="000000"/>
          <w:kern w:val="0"/>
          <w:sz w:val="18"/>
          <w:szCs w:val="18"/>
          <w:lang w:eastAsia="ru-RU"/>
        </w:rPr>
        <w:t>» используют универсальный термин «</w:t>
      </w:r>
      <w:r w:rsidRPr="008F4613">
        <w:rPr>
          <w:rFonts w:ascii="Verdana" w:eastAsia="Times New Roman" w:hAnsi="Verdana" w:cs="Times New Roman"/>
          <w:i/>
          <w:iCs/>
          <w:color w:val="000000"/>
          <w:kern w:val="0"/>
          <w:sz w:val="18"/>
          <w:szCs w:val="18"/>
          <w:lang w:eastAsia="ru-RU"/>
        </w:rPr>
        <w:t>патогенный биологический агент</w:t>
      </w:r>
      <w:r w:rsidRPr="008F4613">
        <w:rPr>
          <w:rFonts w:ascii="Verdana" w:eastAsia="Times New Roman" w:hAnsi="Verdana" w:cs="Times New Roman"/>
          <w:color w:val="000000"/>
          <w:kern w:val="0"/>
          <w:sz w:val="18"/>
          <w:szCs w:val="18"/>
          <w:lang w:eastAsia="ru-RU"/>
        </w:rPr>
        <w:t>» (</w:t>
      </w:r>
      <w:r w:rsidRPr="008F4613">
        <w:rPr>
          <w:rFonts w:ascii="Verdana" w:eastAsia="Times New Roman" w:hAnsi="Verdana" w:cs="Times New Roman"/>
          <w:i/>
          <w:iCs/>
          <w:color w:val="000000"/>
          <w:kern w:val="0"/>
          <w:sz w:val="18"/>
          <w:szCs w:val="18"/>
          <w:lang w:eastAsia="ru-RU"/>
        </w:rPr>
        <w:t>ПБА</w:t>
      </w:r>
      <w:r w:rsidRPr="008F4613">
        <w:rPr>
          <w:rFonts w:ascii="Verdana" w:eastAsia="Times New Roman" w:hAnsi="Verdana" w:cs="Times New Roman"/>
          <w:color w:val="000000"/>
          <w:kern w:val="0"/>
          <w:sz w:val="18"/>
          <w:szCs w:val="18"/>
          <w:lang w:eastAsia="ru-RU"/>
        </w:rPr>
        <w:t>), наиболее точно передающий содержание тех же понятий.</w:t>
      </w:r>
    </w:p>
    <w:p w14:paraId="1421306A"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lastRenderedPageBreak/>
        <w:t>Термины «</w:t>
      </w:r>
      <w:r w:rsidRPr="008F4613">
        <w:rPr>
          <w:rFonts w:ascii="Verdana" w:eastAsia="Times New Roman" w:hAnsi="Verdana" w:cs="Times New Roman"/>
          <w:i/>
          <w:iCs/>
          <w:color w:val="000000"/>
          <w:kern w:val="0"/>
          <w:sz w:val="18"/>
          <w:szCs w:val="18"/>
          <w:lang w:eastAsia="ru-RU"/>
        </w:rPr>
        <w:t>микробиологический агент</w:t>
      </w:r>
      <w:r w:rsidRPr="008F4613">
        <w:rPr>
          <w:rFonts w:ascii="Verdana" w:eastAsia="Times New Roman" w:hAnsi="Verdana" w:cs="Times New Roman"/>
          <w:color w:val="000000"/>
          <w:kern w:val="0"/>
          <w:sz w:val="18"/>
          <w:szCs w:val="18"/>
          <w:lang w:eastAsia="ru-RU"/>
        </w:rPr>
        <w:t>», «</w:t>
      </w:r>
      <w:r w:rsidRPr="008F4613">
        <w:rPr>
          <w:rFonts w:ascii="Verdana" w:eastAsia="Times New Roman" w:hAnsi="Verdana" w:cs="Times New Roman"/>
          <w:i/>
          <w:iCs/>
          <w:color w:val="000000"/>
          <w:kern w:val="0"/>
          <w:sz w:val="18"/>
          <w:szCs w:val="18"/>
          <w:lang w:eastAsia="ru-RU"/>
        </w:rPr>
        <w:t>биологический агент</w:t>
      </w:r>
      <w:r w:rsidRPr="008F4613">
        <w:rPr>
          <w:rFonts w:ascii="Verdana" w:eastAsia="Times New Roman" w:hAnsi="Verdana" w:cs="Times New Roman"/>
          <w:color w:val="000000"/>
          <w:kern w:val="0"/>
          <w:sz w:val="18"/>
          <w:szCs w:val="18"/>
          <w:lang w:eastAsia="ru-RU"/>
        </w:rPr>
        <w:t>» и «</w:t>
      </w:r>
      <w:r w:rsidRPr="008F4613">
        <w:rPr>
          <w:rFonts w:ascii="Verdana" w:eastAsia="Times New Roman" w:hAnsi="Verdana" w:cs="Times New Roman"/>
          <w:i/>
          <w:iCs/>
          <w:color w:val="000000"/>
          <w:kern w:val="0"/>
          <w:sz w:val="18"/>
          <w:szCs w:val="18"/>
          <w:lang w:eastAsia="ru-RU"/>
        </w:rPr>
        <w:t>токсин</w:t>
      </w:r>
      <w:r w:rsidRPr="008F4613">
        <w:rPr>
          <w:rFonts w:ascii="Verdana" w:eastAsia="Times New Roman" w:hAnsi="Verdana" w:cs="Times New Roman"/>
          <w:color w:val="000000"/>
          <w:kern w:val="0"/>
          <w:sz w:val="18"/>
          <w:szCs w:val="18"/>
          <w:lang w:eastAsia="ru-RU"/>
        </w:rPr>
        <w:t>» (МБА, БА и Т) должны быть заменены в ст. 248 УК РФ термином «</w:t>
      </w:r>
      <w:r w:rsidRPr="008F4613">
        <w:rPr>
          <w:rFonts w:ascii="Verdana" w:eastAsia="Times New Roman" w:hAnsi="Verdana" w:cs="Times New Roman"/>
          <w:i/>
          <w:iCs/>
          <w:color w:val="000000"/>
          <w:kern w:val="0"/>
          <w:sz w:val="18"/>
          <w:szCs w:val="18"/>
          <w:lang w:eastAsia="ru-RU"/>
        </w:rPr>
        <w:t>патогенный биологический агент</w:t>
      </w:r>
      <w:r w:rsidRPr="008F4613">
        <w:rPr>
          <w:rFonts w:ascii="Verdana" w:eastAsia="Times New Roman" w:hAnsi="Verdana" w:cs="Times New Roman"/>
          <w:color w:val="000000"/>
          <w:kern w:val="0"/>
          <w:sz w:val="18"/>
          <w:szCs w:val="18"/>
          <w:lang w:eastAsia="ru-RU"/>
        </w:rPr>
        <w:t>» (</w:t>
      </w:r>
      <w:r w:rsidRPr="008F4613">
        <w:rPr>
          <w:rFonts w:ascii="Verdana" w:eastAsia="Times New Roman" w:hAnsi="Verdana" w:cs="Times New Roman"/>
          <w:i/>
          <w:iCs/>
          <w:color w:val="000000"/>
          <w:kern w:val="0"/>
          <w:sz w:val="18"/>
          <w:szCs w:val="18"/>
          <w:lang w:eastAsia="ru-RU"/>
        </w:rPr>
        <w:t>ПБА).</w:t>
      </w:r>
    </w:p>
    <w:p w14:paraId="584B18A4"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4. Основным критерием отнесения тех или иных патогенных микроорганизмов к предмету преступления, предусмотренного ст. 248 УК РФ, является степень их патогенности, выражающаяся в наличии или отсутствии средств медицинской профилактики и (или) лечения заболевания, вызываемого микроорганизмом определенной группы патогенности. Эффективность того или иного средства медицинской профилактики или лечения определяет степень патогенности того или иного микроорганизма.</w:t>
      </w:r>
    </w:p>
    <w:p w14:paraId="53FD2604"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Применение данного медицинского критерия позволило автору уточнить предмет преступления, предусмотренного ст. 248 УК РФ, каковым являются </w:t>
      </w:r>
      <w:r w:rsidRPr="008F4613">
        <w:rPr>
          <w:rFonts w:ascii="Verdana" w:eastAsia="Times New Roman" w:hAnsi="Verdana" w:cs="Times New Roman"/>
          <w:i/>
          <w:iCs/>
          <w:color w:val="000000"/>
          <w:kern w:val="0"/>
          <w:sz w:val="18"/>
          <w:szCs w:val="18"/>
          <w:lang w:eastAsia="ru-RU"/>
        </w:rPr>
        <w:t>патогенные биологические агенты I и II групп патогенности.</w:t>
      </w:r>
      <w:r w:rsidRPr="008F4613">
        <w:rPr>
          <w:rFonts w:ascii="Verdana" w:eastAsia="Times New Roman" w:hAnsi="Verdana" w:cs="Times New Roman"/>
          <w:color w:val="000000"/>
          <w:kern w:val="0"/>
          <w:sz w:val="18"/>
          <w:szCs w:val="18"/>
          <w:lang w:eastAsia="ru-RU"/>
        </w:rPr>
        <w:t> Их общее количество составляет 38 патогенных микроорганизмов.</w:t>
      </w:r>
    </w:p>
    <w:p w14:paraId="31A84A82"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5. Объективная сторона преступления, предусмотренного ст. 248 УК РФ, выражается в </w:t>
      </w:r>
      <w:r w:rsidRPr="008F4613">
        <w:rPr>
          <w:rFonts w:ascii="Verdana" w:eastAsia="Times New Roman" w:hAnsi="Verdana" w:cs="Times New Roman"/>
          <w:i/>
          <w:iCs/>
          <w:color w:val="000000"/>
          <w:kern w:val="0"/>
          <w:sz w:val="18"/>
          <w:szCs w:val="18"/>
          <w:lang w:eastAsia="ru-RU"/>
        </w:rPr>
        <w:t>нарушении правил безопасности</w:t>
      </w:r>
      <w:r w:rsidRPr="008F4613">
        <w:rPr>
          <w:rFonts w:ascii="Verdana" w:eastAsia="Times New Roman" w:hAnsi="Verdana" w:cs="Times New Roman"/>
          <w:color w:val="000000"/>
          <w:kern w:val="0"/>
          <w:sz w:val="18"/>
          <w:szCs w:val="18"/>
          <w:lang w:eastAsia="ru-RU"/>
        </w:rPr>
        <w:t> при обращении с патогенными микроорганизмами и включает в себя признаки, характерные в целом для нарушения специальных правил поведения: действие или бездействие, влекущее нарушение правил безопасности, общественно опасные последствия и причинную связь. Используемые при конструировании объективной стороны понятия образуют сложную иерархическую структуру: </w:t>
      </w:r>
      <w:r w:rsidRPr="008F4613">
        <w:rPr>
          <w:rFonts w:ascii="Verdana" w:eastAsia="Times New Roman" w:hAnsi="Verdana" w:cs="Times New Roman"/>
          <w:i/>
          <w:iCs/>
          <w:color w:val="000000"/>
          <w:kern w:val="0"/>
          <w:sz w:val="18"/>
          <w:szCs w:val="18"/>
          <w:lang w:eastAsia="ru-RU"/>
        </w:rPr>
        <w:t>обращение – правила обращения – нарушение правил обращения - безопасность обращения</w:t>
      </w:r>
      <w:r w:rsidRPr="008F4613">
        <w:rPr>
          <w:rFonts w:ascii="Verdana" w:eastAsia="Times New Roman" w:hAnsi="Verdana" w:cs="Times New Roman"/>
          <w:color w:val="000000"/>
          <w:kern w:val="0"/>
          <w:sz w:val="18"/>
          <w:szCs w:val="18"/>
          <w:lang w:eastAsia="ru-RU"/>
        </w:rPr>
        <w:t> – </w:t>
      </w:r>
      <w:r w:rsidRPr="008F4613">
        <w:rPr>
          <w:rFonts w:ascii="Verdana" w:eastAsia="Times New Roman" w:hAnsi="Verdana" w:cs="Times New Roman"/>
          <w:i/>
          <w:iCs/>
          <w:color w:val="000000"/>
          <w:kern w:val="0"/>
          <w:sz w:val="18"/>
          <w:szCs w:val="18"/>
          <w:lang w:eastAsia="ru-RU"/>
        </w:rPr>
        <w:t>правила безопасности при обращении</w:t>
      </w:r>
      <w:r w:rsidRPr="008F4613">
        <w:rPr>
          <w:rFonts w:ascii="Verdana" w:eastAsia="Times New Roman" w:hAnsi="Verdana" w:cs="Times New Roman"/>
          <w:color w:val="000000"/>
          <w:kern w:val="0"/>
          <w:sz w:val="18"/>
          <w:szCs w:val="18"/>
          <w:lang w:eastAsia="ru-RU"/>
        </w:rPr>
        <w:t> – </w:t>
      </w:r>
      <w:r w:rsidRPr="008F4613">
        <w:rPr>
          <w:rFonts w:ascii="Verdana" w:eastAsia="Times New Roman" w:hAnsi="Verdana" w:cs="Times New Roman"/>
          <w:i/>
          <w:iCs/>
          <w:color w:val="000000"/>
          <w:kern w:val="0"/>
          <w:sz w:val="18"/>
          <w:szCs w:val="18"/>
          <w:lang w:eastAsia="ru-RU"/>
        </w:rPr>
        <w:t>нарушение правил безопасности при обращении</w:t>
      </w:r>
      <w:r w:rsidRPr="008F4613">
        <w:rPr>
          <w:rFonts w:ascii="Verdana" w:eastAsia="Times New Roman" w:hAnsi="Verdana" w:cs="Times New Roman"/>
          <w:color w:val="000000"/>
          <w:kern w:val="0"/>
          <w:sz w:val="18"/>
          <w:szCs w:val="18"/>
          <w:lang w:eastAsia="ru-RU"/>
        </w:rPr>
        <w:t>.</w:t>
      </w:r>
    </w:p>
    <w:p w14:paraId="203F3C03"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i/>
          <w:iCs/>
          <w:color w:val="000000"/>
          <w:kern w:val="0"/>
          <w:sz w:val="18"/>
          <w:szCs w:val="18"/>
          <w:lang w:eastAsia="ru-RU"/>
        </w:rPr>
        <w:t>Безопасность обращения</w:t>
      </w:r>
      <w:r w:rsidRPr="008F4613">
        <w:rPr>
          <w:rFonts w:ascii="Verdana" w:eastAsia="Times New Roman" w:hAnsi="Verdana" w:cs="Times New Roman"/>
          <w:color w:val="000000"/>
          <w:kern w:val="0"/>
          <w:sz w:val="18"/>
          <w:szCs w:val="18"/>
          <w:lang w:eastAsia="ru-RU"/>
        </w:rPr>
        <w:t> применительно к ст. 248 УК РФ заключается в защищенности лица от инфицирования при проведении операций с патогенными биологическими агентами за счет неукоснительного соблюдения соответствующих санитарных правил и норм (СанПиН), санитарных, либо санитарно-эпидемиологических правил безопасности.</w:t>
      </w:r>
    </w:p>
    <w:p w14:paraId="34EE1050"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Все </w:t>
      </w:r>
      <w:r w:rsidRPr="008F4613">
        <w:rPr>
          <w:rFonts w:ascii="Verdana" w:eastAsia="Times New Roman" w:hAnsi="Verdana" w:cs="Times New Roman"/>
          <w:i/>
          <w:iCs/>
          <w:color w:val="000000"/>
          <w:kern w:val="0"/>
          <w:sz w:val="18"/>
          <w:szCs w:val="18"/>
          <w:lang w:eastAsia="ru-RU"/>
        </w:rPr>
        <w:t>правила безопасности</w:t>
      </w:r>
      <w:r w:rsidRPr="008F4613">
        <w:rPr>
          <w:rFonts w:ascii="Verdana" w:eastAsia="Times New Roman" w:hAnsi="Verdana" w:cs="Times New Roman"/>
          <w:color w:val="000000"/>
          <w:kern w:val="0"/>
          <w:sz w:val="18"/>
          <w:szCs w:val="18"/>
          <w:lang w:eastAsia="ru-RU"/>
        </w:rPr>
        <w:t> при обращении с патогенными биологическими агентами I и II групп патогенности, содержащиеся в санитарных правилах и нормах (СанПиНах), санитарных и санитарно-эпидемиологических правилах, систематизированы автором по следующим видам работ, совокупность которых образует содержание понятия «</w:t>
      </w:r>
      <w:r w:rsidRPr="008F4613">
        <w:rPr>
          <w:rFonts w:ascii="Verdana" w:eastAsia="Times New Roman" w:hAnsi="Verdana" w:cs="Times New Roman"/>
          <w:i/>
          <w:iCs/>
          <w:color w:val="000000"/>
          <w:kern w:val="0"/>
          <w:sz w:val="18"/>
          <w:szCs w:val="18"/>
          <w:lang w:eastAsia="ru-RU"/>
        </w:rPr>
        <w:t>обращение</w:t>
      </w:r>
      <w:r w:rsidRPr="008F4613">
        <w:rPr>
          <w:rFonts w:ascii="Verdana" w:eastAsia="Times New Roman" w:hAnsi="Verdana" w:cs="Times New Roman"/>
          <w:color w:val="000000"/>
          <w:kern w:val="0"/>
          <w:sz w:val="18"/>
          <w:szCs w:val="18"/>
          <w:lang w:eastAsia="ru-RU"/>
        </w:rPr>
        <w:t>»: 1) учет ПБА, 2) хранение ПБА, 3) использование (применение) ПБА, 4) передача ПБА внутри организации, 5) передача (транспортировка) ПБА сторонним организациям, в том числе зарубежным, 6) обезвреживание и утилизация ПБА, 7) меры биологической защиты.</w:t>
      </w:r>
    </w:p>
    <w:p w14:paraId="2BF4A302"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На основе указанной систематизации автором смоделированы 102 возможных случая </w:t>
      </w:r>
      <w:r w:rsidRPr="008F4613">
        <w:rPr>
          <w:rFonts w:ascii="Verdana" w:eastAsia="Times New Roman" w:hAnsi="Verdana" w:cs="Times New Roman"/>
          <w:i/>
          <w:iCs/>
          <w:color w:val="000000"/>
          <w:kern w:val="0"/>
          <w:sz w:val="18"/>
          <w:szCs w:val="18"/>
          <w:lang w:eastAsia="ru-RU"/>
        </w:rPr>
        <w:t>нарушения правил безопасности при обращении</w:t>
      </w:r>
      <w:r w:rsidRPr="008F4613">
        <w:rPr>
          <w:rFonts w:ascii="Verdana" w:eastAsia="Times New Roman" w:hAnsi="Verdana" w:cs="Times New Roman"/>
          <w:color w:val="000000"/>
          <w:kern w:val="0"/>
          <w:sz w:val="18"/>
          <w:szCs w:val="18"/>
          <w:lang w:eastAsia="ru-RU"/>
        </w:rPr>
        <w:t> с патогенными биологическими агентами I и II групп патогенности с указанием на конкретные пункты санитарных правил и норм (СанПиН), санитарных и санитарно-эпидемиологических правил.</w:t>
      </w:r>
    </w:p>
    <w:p w14:paraId="631E4450"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6. В диспозиции ст. 248 УК РФ необходимо воссоздать признак «</w:t>
      </w:r>
      <w:r w:rsidRPr="008F4613">
        <w:rPr>
          <w:rFonts w:ascii="Verdana" w:eastAsia="Times New Roman" w:hAnsi="Verdana" w:cs="Times New Roman"/>
          <w:i/>
          <w:iCs/>
          <w:color w:val="000000"/>
          <w:kern w:val="0"/>
          <w:sz w:val="18"/>
          <w:szCs w:val="18"/>
          <w:lang w:eastAsia="ru-RU"/>
        </w:rPr>
        <w:t>создание угрозы»</w:t>
      </w:r>
      <w:r w:rsidRPr="008F4613">
        <w:rPr>
          <w:rFonts w:ascii="Verdana" w:eastAsia="Times New Roman" w:hAnsi="Verdana" w:cs="Times New Roman"/>
          <w:color w:val="000000"/>
          <w:kern w:val="0"/>
          <w:sz w:val="18"/>
          <w:szCs w:val="18"/>
          <w:lang w:eastAsia="ru-RU"/>
        </w:rPr>
        <w:t> наступления последствий, как это было предусмотрено ранее в ст. 222</w:t>
      </w:r>
      <w:r w:rsidRPr="008F4613">
        <w:rPr>
          <w:rFonts w:ascii="Verdana" w:eastAsia="Times New Roman" w:hAnsi="Verdana" w:cs="Times New Roman"/>
          <w:color w:val="000000"/>
          <w:kern w:val="0"/>
          <w:sz w:val="18"/>
          <w:szCs w:val="18"/>
          <w:vertAlign w:val="superscript"/>
          <w:lang w:eastAsia="ru-RU"/>
        </w:rPr>
        <w:t>1</w:t>
      </w:r>
      <w:r w:rsidRPr="008F4613">
        <w:rPr>
          <w:rFonts w:ascii="Verdana" w:eastAsia="Times New Roman" w:hAnsi="Verdana" w:cs="Times New Roman"/>
          <w:color w:val="000000"/>
          <w:kern w:val="0"/>
          <w:sz w:val="18"/>
          <w:szCs w:val="18"/>
          <w:lang w:eastAsia="ru-RU"/>
        </w:rPr>
        <w:t> УК РСФСР, что будет более эффективно предупреждать возможные нарушения правил безопасности при обращении с патогенными микроорганизмами и снизит риск наступления реальных последствий. Размер санкций за нарушение правил безопасности при обращении с патогенными микроорганизмами, создавших угрозу наступления общественно-опасных последствий, необходимо установить в размере двух третей от размера санкций за нарушение правил безопасности при обращении с патогенными биологическими агентами, повлекших реальные последствия.</w:t>
      </w:r>
    </w:p>
    <w:p w14:paraId="1B2FA0EF"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7. С учетом сравнительно-правового анализа уголовного законодательства РФ и стран ближнего и дальнего зарубежья об ответственности за нарушение правил безопасности при обращении с патогенными микроорганизмами следует расширить перечень общественно-опасных последствий в ст. 248 УК РФ, добавив к ним «</w:t>
      </w:r>
      <w:r w:rsidRPr="008F4613">
        <w:rPr>
          <w:rFonts w:ascii="Verdana" w:eastAsia="Times New Roman" w:hAnsi="Verdana" w:cs="Times New Roman"/>
          <w:i/>
          <w:iCs/>
          <w:color w:val="000000"/>
          <w:kern w:val="0"/>
          <w:sz w:val="18"/>
          <w:szCs w:val="18"/>
          <w:lang w:eastAsia="ru-RU"/>
        </w:rPr>
        <w:t>причинение значительного имущественного ущерба</w:t>
      </w:r>
      <w:r w:rsidRPr="008F4613">
        <w:rPr>
          <w:rFonts w:ascii="Verdana" w:eastAsia="Times New Roman" w:hAnsi="Verdana" w:cs="Times New Roman"/>
          <w:color w:val="000000"/>
          <w:kern w:val="0"/>
          <w:sz w:val="18"/>
          <w:szCs w:val="18"/>
          <w:lang w:eastAsia="ru-RU"/>
        </w:rPr>
        <w:t>» и </w:t>
      </w:r>
      <w:r w:rsidRPr="008F4613">
        <w:rPr>
          <w:rFonts w:ascii="Verdana" w:eastAsia="Times New Roman" w:hAnsi="Verdana" w:cs="Times New Roman"/>
          <w:i/>
          <w:iCs/>
          <w:color w:val="000000"/>
          <w:kern w:val="0"/>
          <w:sz w:val="18"/>
          <w:szCs w:val="18"/>
          <w:lang w:eastAsia="ru-RU"/>
        </w:rPr>
        <w:t>«причинение по неосторожности смерти двум и более лицам».</w:t>
      </w:r>
    </w:p>
    <w:p w14:paraId="0D3DAB92"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xml:space="preserve">8. Определение перечня лиц, которые являются субъектами нарушения правил безопасности при обращении с патогенными микроорганизмами. Это не все медицинские работники, а только те сотрудники специализированных микробиологических лабораторий I и II групп риска, созданных на базе противочумных научно-исследовательских институтов, противочумных станций и центров гигиены и эпидемиологии федерального и регионального уровня, которые, во-первых, </w:t>
      </w:r>
      <w:r w:rsidRPr="008F4613">
        <w:rPr>
          <w:rFonts w:ascii="Verdana" w:eastAsia="Times New Roman" w:hAnsi="Verdana" w:cs="Times New Roman"/>
          <w:color w:val="000000"/>
          <w:kern w:val="0"/>
          <w:sz w:val="18"/>
          <w:szCs w:val="18"/>
          <w:lang w:eastAsia="ru-RU"/>
        </w:rPr>
        <w:lastRenderedPageBreak/>
        <w:t>соответствующим образом подготовлены, во-вторых, допущены к работе с патогенными микроорганизмами и, в-третьих, на которых возложена обязанность соблюдения правил безопасности при обращении с ними. Кроме того, субъектами указанного преступления являются лица, которые в силу своего должностного положения осуществляют надзор и контроль за соблюдением данных правил.</w:t>
      </w:r>
    </w:p>
    <w:p w14:paraId="11EBC31A"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9. Субъективная сторона анализируемого состава преступления характеризуется виной в форме неосторожности по отношению к наступившим последствиям. С целью конкретизации диспозиции ч. 2 ст. 248 УК РФ необходимо включить в нее прямое указание на неосторожное отношение виновного к наступлению общественно опасных последствий, как это сделано в ч. 3 ст. 248 УК РФ.</w:t>
      </w:r>
    </w:p>
    <w:p w14:paraId="1CA885BA"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10. Новая редакция ст. 248 УК РФ с учетом авторских предложений по ее совершенствованию:</w:t>
      </w:r>
    </w:p>
    <w:p w14:paraId="081EFCC7"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«Статья 248. Нарушение правил безопасности при обращении с патогенными </w:t>
      </w:r>
      <w:r w:rsidRPr="008F4613">
        <w:rPr>
          <w:rFonts w:ascii="Verdana" w:eastAsia="Times New Roman" w:hAnsi="Verdana" w:cs="Times New Roman"/>
          <w:i/>
          <w:iCs/>
          <w:color w:val="000000"/>
          <w:kern w:val="0"/>
          <w:sz w:val="18"/>
          <w:szCs w:val="18"/>
          <w:lang w:eastAsia="ru-RU"/>
        </w:rPr>
        <w:t>биологическими агентам</w:t>
      </w:r>
      <w:r w:rsidRPr="008F4613">
        <w:rPr>
          <w:rFonts w:ascii="Verdana" w:eastAsia="Times New Roman" w:hAnsi="Verdana" w:cs="Times New Roman"/>
          <w:color w:val="000000"/>
          <w:kern w:val="0"/>
          <w:sz w:val="18"/>
          <w:szCs w:val="18"/>
          <w:lang w:eastAsia="ru-RU"/>
        </w:rPr>
        <w:t>и </w:t>
      </w:r>
      <w:r w:rsidRPr="008F4613">
        <w:rPr>
          <w:rFonts w:ascii="Verdana" w:eastAsia="Times New Roman" w:hAnsi="Verdana" w:cs="Times New Roman"/>
          <w:i/>
          <w:iCs/>
          <w:color w:val="000000"/>
          <w:kern w:val="0"/>
          <w:sz w:val="18"/>
          <w:szCs w:val="18"/>
          <w:lang w:eastAsia="ru-RU"/>
        </w:rPr>
        <w:t>I и II группы патогенности</w:t>
      </w:r>
    </w:p>
    <w:p w14:paraId="27D4075B"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1. Нарушение правил безопасности при обращении с патогенными </w:t>
      </w:r>
      <w:r w:rsidRPr="008F4613">
        <w:rPr>
          <w:rFonts w:ascii="Verdana" w:eastAsia="Times New Roman" w:hAnsi="Verdana" w:cs="Times New Roman"/>
          <w:i/>
          <w:iCs/>
          <w:color w:val="000000"/>
          <w:kern w:val="0"/>
          <w:sz w:val="18"/>
          <w:szCs w:val="18"/>
          <w:lang w:eastAsia="ru-RU"/>
        </w:rPr>
        <w:t>биологическими агентам</w:t>
      </w:r>
      <w:r w:rsidRPr="008F4613">
        <w:rPr>
          <w:rFonts w:ascii="Verdana" w:eastAsia="Times New Roman" w:hAnsi="Verdana" w:cs="Times New Roman"/>
          <w:color w:val="000000"/>
          <w:kern w:val="0"/>
          <w:sz w:val="18"/>
          <w:szCs w:val="18"/>
          <w:lang w:eastAsia="ru-RU"/>
        </w:rPr>
        <w:t>и </w:t>
      </w:r>
      <w:r w:rsidRPr="008F4613">
        <w:rPr>
          <w:rFonts w:ascii="Verdana" w:eastAsia="Times New Roman" w:hAnsi="Verdana" w:cs="Times New Roman"/>
          <w:i/>
          <w:iCs/>
          <w:color w:val="000000"/>
          <w:kern w:val="0"/>
          <w:sz w:val="18"/>
          <w:szCs w:val="18"/>
          <w:lang w:eastAsia="ru-RU"/>
        </w:rPr>
        <w:t>I и II группы патогенности,</w:t>
      </w:r>
      <w:r w:rsidRPr="008F4613">
        <w:rPr>
          <w:rFonts w:ascii="Verdana" w:eastAsia="Times New Roman" w:hAnsi="Verdana" w:cs="Times New Roman"/>
          <w:color w:val="000000"/>
          <w:kern w:val="0"/>
          <w:sz w:val="18"/>
          <w:szCs w:val="18"/>
          <w:lang w:eastAsia="ru-RU"/>
        </w:rPr>
        <w:t> </w:t>
      </w:r>
      <w:r w:rsidRPr="008F4613">
        <w:rPr>
          <w:rFonts w:ascii="Verdana" w:eastAsia="Times New Roman" w:hAnsi="Verdana" w:cs="Times New Roman"/>
          <w:i/>
          <w:iCs/>
          <w:color w:val="000000"/>
          <w:kern w:val="0"/>
          <w:sz w:val="18"/>
          <w:szCs w:val="18"/>
          <w:lang w:eastAsia="ru-RU"/>
        </w:rPr>
        <w:t>создавшее угрозу</w:t>
      </w:r>
      <w:r w:rsidRPr="008F4613">
        <w:rPr>
          <w:rFonts w:ascii="Verdana" w:eastAsia="Times New Roman" w:hAnsi="Verdana" w:cs="Times New Roman"/>
          <w:color w:val="000000"/>
          <w:kern w:val="0"/>
          <w:sz w:val="18"/>
          <w:szCs w:val="18"/>
          <w:lang w:eastAsia="ru-RU"/>
        </w:rPr>
        <w:t> причинения вреда здоровью человека, распространения эпидемий или эпизоотий, либо иные тяжкие последствия, -</w:t>
      </w:r>
    </w:p>
    <w:p w14:paraId="0C2AF638"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i/>
          <w:iCs/>
          <w:color w:val="000000"/>
          <w:kern w:val="0"/>
          <w:sz w:val="18"/>
          <w:szCs w:val="1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двухсот тридцати часов, либо исправительными работами на срок до восьми месяцев, либо принудительными работами на срок до пятнадцати месяцев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пятнадцати месяцев с лишением права занимать определенные должности или заниматьсяопределенной деятельностью на срок до двух лет или без такового.</w:t>
      </w:r>
    </w:p>
    <w:p w14:paraId="673472BF"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2. То же деяние, повлекшее </w:t>
      </w:r>
      <w:r w:rsidRPr="008F4613">
        <w:rPr>
          <w:rFonts w:ascii="Verdana" w:eastAsia="Times New Roman" w:hAnsi="Verdana" w:cs="Times New Roman"/>
          <w:i/>
          <w:iCs/>
          <w:color w:val="000000"/>
          <w:kern w:val="0"/>
          <w:sz w:val="18"/>
          <w:szCs w:val="18"/>
          <w:lang w:eastAsia="ru-RU"/>
        </w:rPr>
        <w:t>по неосторожности</w:t>
      </w:r>
      <w:r w:rsidRPr="008F4613">
        <w:rPr>
          <w:rFonts w:ascii="Verdana" w:eastAsia="Times New Roman" w:hAnsi="Verdana" w:cs="Times New Roman"/>
          <w:color w:val="000000"/>
          <w:kern w:val="0"/>
          <w:sz w:val="18"/>
          <w:szCs w:val="18"/>
          <w:lang w:eastAsia="ru-RU"/>
        </w:rPr>
        <w:t> причинение вреда здоровью человека, распространение эпидемий или эпизоотий, </w:t>
      </w:r>
      <w:r w:rsidRPr="008F4613">
        <w:rPr>
          <w:rFonts w:ascii="Verdana" w:eastAsia="Times New Roman" w:hAnsi="Verdana" w:cs="Times New Roman"/>
          <w:i/>
          <w:iCs/>
          <w:color w:val="000000"/>
          <w:kern w:val="0"/>
          <w:sz w:val="18"/>
          <w:szCs w:val="18"/>
          <w:lang w:eastAsia="ru-RU"/>
        </w:rPr>
        <w:t>причинение значительного имущественного ущерба</w:t>
      </w:r>
      <w:r w:rsidRPr="008F4613">
        <w:rPr>
          <w:rFonts w:ascii="Verdana" w:eastAsia="Times New Roman" w:hAnsi="Verdana" w:cs="Times New Roman"/>
          <w:color w:val="000000"/>
          <w:kern w:val="0"/>
          <w:sz w:val="18"/>
          <w:szCs w:val="18"/>
          <w:lang w:eastAsia="ru-RU"/>
        </w:rPr>
        <w:t> либо иные тяжкие последствия, -</w:t>
      </w:r>
    </w:p>
    <w:p w14:paraId="6222F043"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14:paraId="7168233D"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3. Деяние, предусмотренное частью второй настоящей статьи, повлекшее по неосторожности смерть человека, -</w:t>
      </w:r>
    </w:p>
    <w:p w14:paraId="431CC063"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410D7F17"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4. Деяние, предусмотренное частью второй настоящей статьи, повлекшее </w:t>
      </w:r>
      <w:r w:rsidRPr="008F4613">
        <w:rPr>
          <w:rFonts w:ascii="Verdana" w:eastAsia="Times New Roman" w:hAnsi="Verdana" w:cs="Times New Roman"/>
          <w:i/>
          <w:iCs/>
          <w:color w:val="000000"/>
          <w:kern w:val="0"/>
          <w:sz w:val="18"/>
          <w:szCs w:val="18"/>
          <w:lang w:eastAsia="ru-RU"/>
        </w:rPr>
        <w:t>по неосторожности смерть двух или более лиц</w:t>
      </w:r>
      <w:r w:rsidRPr="008F4613">
        <w:rPr>
          <w:rFonts w:ascii="Verdana" w:eastAsia="Times New Roman" w:hAnsi="Verdana" w:cs="Times New Roman"/>
          <w:color w:val="000000"/>
          <w:kern w:val="0"/>
          <w:sz w:val="18"/>
          <w:szCs w:val="18"/>
          <w:lang w:eastAsia="ru-RU"/>
        </w:rPr>
        <w:t>, -</w:t>
      </w:r>
    </w:p>
    <w:p w14:paraId="3DD16920"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i/>
          <w:iCs/>
          <w:color w:val="000000"/>
          <w:kern w:val="0"/>
          <w:sz w:val="18"/>
          <w:szCs w:val="18"/>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25BACD50"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lastRenderedPageBreak/>
        <w:t>Научно-практическое значение</w:t>
      </w:r>
      <w:r w:rsidRPr="008F4613">
        <w:rPr>
          <w:rFonts w:ascii="Verdana" w:eastAsia="Times New Roman" w:hAnsi="Verdana" w:cs="Times New Roman"/>
          <w:color w:val="000000"/>
          <w:kern w:val="0"/>
          <w:sz w:val="18"/>
          <w:szCs w:val="18"/>
          <w:lang w:eastAsia="ru-RU"/>
        </w:rPr>
        <w:t> диссертационной работы заключается в том, что ее положения могут быть использованы:</w:t>
      </w:r>
    </w:p>
    <w:p w14:paraId="0A6343FE"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в правотворческой деятельности при совершенствовании действующего уголовного и санитарного (санитарно-эпидемиологического) законодательства, в особенности их терминологии;</w:t>
      </w:r>
    </w:p>
    <w:p w14:paraId="1D341728"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в учебном процессе при преподавании уголовного права, медицинского права, санитарного права, экологического права и специального курса «Правовое регулирование обращения с патогенными микроорганизмами» для юристов и медицинских работников;</w:t>
      </w:r>
    </w:p>
    <w:p w14:paraId="72690FA0"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в деятельности правоохранительных органов, в особенности природоохранной прокуратуры и следственных подразделений Следственного комитета РФ, осуществляющих производство по делам об экологических преступлениях;</w:t>
      </w:r>
    </w:p>
    <w:p w14:paraId="438972DF"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color w:val="000000"/>
          <w:kern w:val="0"/>
          <w:sz w:val="18"/>
          <w:szCs w:val="18"/>
          <w:lang w:eastAsia="ru-RU"/>
        </w:rPr>
        <w:t>- при дальнейшей научной разработке вопросов уголовно-правовой защиты безопасности обращения с патогенными микроорганизмами.</w:t>
      </w:r>
    </w:p>
    <w:p w14:paraId="0B08B7B2"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Апробация результатов исследования.</w:t>
      </w:r>
      <w:r w:rsidRPr="008F4613">
        <w:rPr>
          <w:rFonts w:ascii="Verdana" w:eastAsia="Times New Roman" w:hAnsi="Verdana" w:cs="Times New Roman"/>
          <w:color w:val="000000"/>
          <w:kern w:val="0"/>
          <w:sz w:val="18"/>
          <w:szCs w:val="18"/>
          <w:lang w:eastAsia="ru-RU"/>
        </w:rPr>
        <w:t> Диссертация подготовлена на кафедре уголовно-правовых дисциплин Московского государственного лингвистического университета. Основные положения диссертации отражены в четырех научных публикациях. Выводы и результаты исследования обсуждались на заседании кафедры уголовно-правовых дисциплин МГЛУ.</w:t>
      </w:r>
    </w:p>
    <w:p w14:paraId="687BE39B" w14:textId="77777777" w:rsidR="008F4613" w:rsidRPr="008F4613" w:rsidRDefault="008F4613" w:rsidP="008F461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4613">
        <w:rPr>
          <w:rFonts w:ascii="Verdana" w:eastAsia="Times New Roman" w:hAnsi="Verdana" w:cs="Times New Roman"/>
          <w:b/>
          <w:bCs/>
          <w:color w:val="000000"/>
          <w:kern w:val="0"/>
          <w:sz w:val="18"/>
          <w:szCs w:val="18"/>
          <w:lang w:eastAsia="ru-RU"/>
        </w:rPr>
        <w:t>Структура диссертации</w:t>
      </w:r>
      <w:r w:rsidRPr="008F4613">
        <w:rPr>
          <w:rFonts w:ascii="Verdana" w:eastAsia="Times New Roman" w:hAnsi="Verdana" w:cs="Times New Roman"/>
          <w:color w:val="000000"/>
          <w:kern w:val="0"/>
          <w:sz w:val="18"/>
          <w:szCs w:val="18"/>
          <w:lang w:eastAsia="ru-RU"/>
        </w:rPr>
        <w:t> обусловлена ее целью, задачами и состоит из введения, двух глав, состоящих из шести параграфов и заключения. Завершают работу библиографический список и приложения, включающие обобщенные результаты проведенного сравнительного анализа и социологических исследований. Работа оформлена в соответствии с требованиями Высшей аттестационной комиссии при Министерстве образования и науки Российской Федерации.</w:t>
      </w:r>
    </w:p>
    <w:p w14:paraId="1BFDB607" w14:textId="77777777" w:rsidR="008F4613" w:rsidRPr="008F4613" w:rsidRDefault="008F4613" w:rsidP="008F4613"/>
    <w:sectPr w:rsidR="008F4613" w:rsidRPr="008F46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445DA" w14:textId="77777777" w:rsidR="006D29E5" w:rsidRDefault="006D29E5">
      <w:pPr>
        <w:spacing w:after="0" w:line="240" w:lineRule="auto"/>
      </w:pPr>
      <w:r>
        <w:separator/>
      </w:r>
    </w:p>
  </w:endnote>
  <w:endnote w:type="continuationSeparator" w:id="0">
    <w:p w14:paraId="216D469E" w14:textId="77777777" w:rsidR="006D29E5" w:rsidRDefault="006D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7EB09" w14:textId="77777777" w:rsidR="006D29E5" w:rsidRDefault="006D29E5">
      <w:pPr>
        <w:spacing w:after="0" w:line="240" w:lineRule="auto"/>
      </w:pPr>
      <w:r>
        <w:separator/>
      </w:r>
    </w:p>
  </w:footnote>
  <w:footnote w:type="continuationSeparator" w:id="0">
    <w:p w14:paraId="059CFC26" w14:textId="77777777" w:rsidR="006D29E5" w:rsidRDefault="006D2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9E5"/>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7113</TotalTime>
  <Pages>7</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962</cp:revision>
  <cp:lastPrinted>2009-02-06T05:36:00Z</cp:lastPrinted>
  <dcterms:created xsi:type="dcterms:W3CDTF">2017-02-26T13:11:00Z</dcterms:created>
  <dcterms:modified xsi:type="dcterms:W3CDTF">2017-04-17T17:42:00Z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