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1D4A0F02" w:rsidR="00065367" w:rsidRPr="004B5FC1" w:rsidRDefault="004B5FC1" w:rsidP="004B5FC1">
      <w:bookmarkStart w:id="0" w:name="_GoBack"/>
      <w:r>
        <w:rPr>
          <w:rFonts w:ascii="Verdana" w:hAnsi="Verdana"/>
          <w:color w:val="000000"/>
          <w:sz w:val="18"/>
          <w:szCs w:val="18"/>
          <w:shd w:val="clear" w:color="auto" w:fill="FFFFFF"/>
        </w:rPr>
        <w:t>Зыонг Хыонг Тхи Тху. Гарантии независимости и беспристрастности арбитров в международном коммерческом арбитраже (на примере Российской Федерации и Социалистической Республики Вьетнам)</w:t>
      </w:r>
      <w:bookmarkEnd w:id="0"/>
      <w:r>
        <w:rPr>
          <w:rFonts w:ascii="Verdana" w:hAnsi="Verdana"/>
          <w:color w:val="000000"/>
          <w:sz w:val="18"/>
          <w:szCs w:val="18"/>
          <w:shd w:val="clear" w:color="auto" w:fill="FFFFFF"/>
        </w:rPr>
        <w:t xml:space="preserve">: диссертация ... кандидата Юридических наук: 12.00.15 / Зыонг Хыонг Тхи </w:t>
      </w:r>
      <w:proofErr w:type="gramStart"/>
      <w:r>
        <w:rPr>
          <w:rFonts w:ascii="Verdana" w:hAnsi="Verdana"/>
          <w:color w:val="000000"/>
          <w:sz w:val="18"/>
          <w:szCs w:val="18"/>
          <w:shd w:val="clear" w:color="auto" w:fill="FFFFFF"/>
        </w:rPr>
        <w:t>Тху;[</w:t>
      </w:r>
      <w:proofErr w:type="gramEnd"/>
      <w:r>
        <w:rPr>
          <w:rFonts w:ascii="Verdana" w:hAnsi="Verdana"/>
          <w:color w:val="000000"/>
          <w:sz w:val="18"/>
          <w:szCs w:val="18"/>
          <w:shd w:val="clear" w:color="auto" w:fill="FFFFFF"/>
        </w:rPr>
        <w:t>Место защиты: Институт государства и права Российской академии наук], 2016.- 176 с.</w:t>
      </w:r>
    </w:p>
    <w:sectPr w:rsidR="00065367" w:rsidRPr="004B5FC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FACCE" w14:textId="77777777" w:rsidR="00520823" w:rsidRDefault="00520823">
      <w:pPr>
        <w:spacing w:after="0" w:line="240" w:lineRule="auto"/>
      </w:pPr>
      <w:r>
        <w:separator/>
      </w:r>
    </w:p>
  </w:endnote>
  <w:endnote w:type="continuationSeparator" w:id="0">
    <w:p w14:paraId="547977E0" w14:textId="77777777" w:rsidR="00520823" w:rsidRDefault="0052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3FA58" w14:textId="77777777" w:rsidR="00520823" w:rsidRDefault="00520823">
      <w:pPr>
        <w:spacing w:after="0" w:line="240" w:lineRule="auto"/>
      </w:pPr>
      <w:r>
        <w:separator/>
      </w:r>
    </w:p>
  </w:footnote>
  <w:footnote w:type="continuationSeparator" w:id="0">
    <w:p w14:paraId="396B7141" w14:textId="77777777" w:rsidR="00520823" w:rsidRDefault="005208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823"/>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24714</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5051</cp:revision>
  <cp:lastPrinted>2009-02-06T05:36:00Z</cp:lastPrinted>
  <dcterms:created xsi:type="dcterms:W3CDTF">2016-09-19T15:12:00Z</dcterms:created>
  <dcterms:modified xsi:type="dcterms:W3CDTF">2017-02-07T10:30:00Z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