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7F0" w:rsidRDefault="00795AD7" w:rsidP="00795AD7">
      <w:pPr>
        <w:rPr>
          <w:rFonts w:ascii="Courier New" w:hAnsi="Courier New"/>
          <w:color w:val="000000"/>
          <w:kern w:val="0"/>
          <w:sz w:val="24"/>
          <w:szCs w:val="24"/>
          <w:lang w:val="en-US" w:eastAsia="ru-RU" w:bidi="ru-RU"/>
        </w:rPr>
      </w:pPr>
      <w:r w:rsidRPr="00795AD7">
        <w:rPr>
          <w:rFonts w:ascii="Courier New" w:hAnsi="Courier New" w:hint="eastAsia"/>
          <w:color w:val="000000"/>
          <w:kern w:val="0"/>
          <w:sz w:val="24"/>
          <w:szCs w:val="24"/>
          <w:lang w:eastAsia="ru-RU" w:bidi="ru-RU"/>
        </w:rPr>
        <w:t>Цатурян</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Вардан</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Викторович</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Дисфункция</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эндотелия</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и</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ее</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взаимосвязь</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с</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другими</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факторами</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риска</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сосудистых</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осложнений</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у</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больных</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сахарным</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диабетом</w:t>
      </w:r>
      <w:r w:rsidRPr="00795AD7">
        <w:rPr>
          <w:rFonts w:ascii="Courier New" w:hAnsi="Courier New"/>
          <w:color w:val="000000"/>
          <w:kern w:val="0"/>
          <w:sz w:val="24"/>
          <w:szCs w:val="24"/>
          <w:lang w:eastAsia="ru-RU" w:bidi="ru-RU"/>
        </w:rPr>
        <w:t xml:space="preserve"> 2-</w:t>
      </w:r>
      <w:r w:rsidRPr="00795AD7">
        <w:rPr>
          <w:rFonts w:ascii="Courier New" w:hAnsi="Courier New" w:hint="eastAsia"/>
          <w:color w:val="000000"/>
          <w:kern w:val="0"/>
          <w:sz w:val="24"/>
          <w:szCs w:val="24"/>
          <w:lang w:eastAsia="ru-RU" w:bidi="ru-RU"/>
        </w:rPr>
        <w:t>го</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типа</w:t>
      </w:r>
      <w:r w:rsidRPr="00795AD7">
        <w:rPr>
          <w:rFonts w:ascii="Courier New" w:hAnsi="Courier New"/>
          <w:color w:val="000000"/>
          <w:kern w:val="0"/>
          <w:sz w:val="24"/>
          <w:szCs w:val="24"/>
          <w:lang w:eastAsia="ru-RU" w:bidi="ru-RU"/>
        </w:rPr>
        <w:t xml:space="preserve"> : </w:t>
      </w:r>
      <w:r w:rsidRPr="00795AD7">
        <w:rPr>
          <w:rFonts w:ascii="Courier New" w:hAnsi="Courier New" w:hint="eastAsia"/>
          <w:color w:val="000000"/>
          <w:kern w:val="0"/>
          <w:sz w:val="24"/>
          <w:szCs w:val="24"/>
          <w:lang w:eastAsia="ru-RU" w:bidi="ru-RU"/>
        </w:rPr>
        <w:t>диссертация</w:t>
      </w:r>
      <w:r w:rsidRPr="00795AD7">
        <w:rPr>
          <w:rFonts w:ascii="Courier New" w:hAnsi="Courier New"/>
          <w:color w:val="000000"/>
          <w:kern w:val="0"/>
          <w:sz w:val="24"/>
          <w:szCs w:val="24"/>
          <w:lang w:eastAsia="ru-RU" w:bidi="ru-RU"/>
        </w:rPr>
        <w:t xml:space="preserve"> ... </w:t>
      </w:r>
      <w:r w:rsidRPr="00795AD7">
        <w:rPr>
          <w:rFonts w:ascii="Courier New" w:hAnsi="Courier New" w:hint="eastAsia"/>
          <w:color w:val="000000"/>
          <w:kern w:val="0"/>
          <w:sz w:val="24"/>
          <w:szCs w:val="24"/>
          <w:lang w:eastAsia="ru-RU" w:bidi="ru-RU"/>
        </w:rPr>
        <w:t>кандидата</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медицинских</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наук</w:t>
      </w:r>
      <w:r w:rsidRPr="00795AD7">
        <w:rPr>
          <w:rFonts w:ascii="Courier New" w:hAnsi="Courier New"/>
          <w:color w:val="000000"/>
          <w:kern w:val="0"/>
          <w:sz w:val="24"/>
          <w:szCs w:val="24"/>
          <w:lang w:eastAsia="ru-RU" w:bidi="ru-RU"/>
        </w:rPr>
        <w:t xml:space="preserve"> : 14.00.05 / </w:t>
      </w:r>
      <w:r w:rsidRPr="00795AD7">
        <w:rPr>
          <w:rFonts w:ascii="Courier New" w:hAnsi="Courier New" w:hint="eastAsia"/>
          <w:color w:val="000000"/>
          <w:kern w:val="0"/>
          <w:sz w:val="24"/>
          <w:szCs w:val="24"/>
          <w:lang w:eastAsia="ru-RU" w:bidi="ru-RU"/>
        </w:rPr>
        <w:t>Цатурян</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Вардан</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Викторович</w:t>
      </w:r>
      <w:r w:rsidRPr="00795AD7">
        <w:rPr>
          <w:rFonts w:ascii="Courier New" w:hAnsi="Courier New"/>
          <w:color w:val="000000"/>
          <w:kern w:val="0"/>
          <w:sz w:val="24"/>
          <w:szCs w:val="24"/>
          <w:lang w:eastAsia="ru-RU" w:bidi="ru-RU"/>
        </w:rPr>
        <w:t>; [</w:t>
      </w:r>
      <w:r w:rsidRPr="00795AD7">
        <w:rPr>
          <w:rFonts w:ascii="Courier New" w:hAnsi="Courier New" w:hint="eastAsia"/>
          <w:color w:val="000000"/>
          <w:kern w:val="0"/>
          <w:sz w:val="24"/>
          <w:szCs w:val="24"/>
          <w:lang w:eastAsia="ru-RU" w:bidi="ru-RU"/>
        </w:rPr>
        <w:t>Место</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защиты</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Государственное</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образовательное</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учреждение</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высшего</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профессионального</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образования</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Военно</w:t>
      </w:r>
      <w:r w:rsidRPr="00795AD7">
        <w:rPr>
          <w:rFonts w:ascii="Courier New" w:hAnsi="Courier New"/>
          <w:color w:val="000000"/>
          <w:kern w:val="0"/>
          <w:sz w:val="24"/>
          <w:szCs w:val="24"/>
          <w:lang w:eastAsia="ru-RU" w:bidi="ru-RU"/>
        </w:rPr>
        <w:t>-</w:t>
      </w:r>
      <w:r w:rsidRPr="00795AD7">
        <w:rPr>
          <w:rFonts w:ascii="Courier New" w:hAnsi="Courier New" w:hint="eastAsia"/>
          <w:color w:val="000000"/>
          <w:kern w:val="0"/>
          <w:sz w:val="24"/>
          <w:szCs w:val="24"/>
          <w:lang w:eastAsia="ru-RU" w:bidi="ru-RU"/>
        </w:rPr>
        <w:t>медицинская</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академия</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Санкт</w:t>
      </w:r>
      <w:r w:rsidRPr="00795AD7">
        <w:rPr>
          <w:rFonts w:ascii="Courier New" w:hAnsi="Courier New"/>
          <w:color w:val="000000"/>
          <w:kern w:val="0"/>
          <w:sz w:val="24"/>
          <w:szCs w:val="24"/>
          <w:lang w:eastAsia="ru-RU" w:bidi="ru-RU"/>
        </w:rPr>
        <w:t>-</w:t>
      </w:r>
      <w:r w:rsidRPr="00795AD7">
        <w:rPr>
          <w:rFonts w:ascii="Courier New" w:hAnsi="Courier New" w:hint="eastAsia"/>
          <w:color w:val="000000"/>
          <w:kern w:val="0"/>
          <w:sz w:val="24"/>
          <w:szCs w:val="24"/>
          <w:lang w:eastAsia="ru-RU" w:bidi="ru-RU"/>
        </w:rPr>
        <w:t>Петербург</w:t>
      </w:r>
      <w:r w:rsidRPr="00795AD7">
        <w:rPr>
          <w:rFonts w:ascii="Courier New" w:hAnsi="Courier New"/>
          <w:color w:val="000000"/>
          <w:kern w:val="0"/>
          <w:sz w:val="24"/>
          <w:szCs w:val="24"/>
          <w:lang w:eastAsia="ru-RU" w:bidi="ru-RU"/>
        </w:rPr>
        <w:t xml:space="preserve">, 2004.- 160 </w:t>
      </w:r>
      <w:r w:rsidRPr="00795AD7">
        <w:rPr>
          <w:rFonts w:ascii="Courier New" w:hAnsi="Courier New" w:hint="eastAsia"/>
          <w:color w:val="000000"/>
          <w:kern w:val="0"/>
          <w:sz w:val="24"/>
          <w:szCs w:val="24"/>
          <w:lang w:eastAsia="ru-RU" w:bidi="ru-RU"/>
        </w:rPr>
        <w:t>с</w:t>
      </w:r>
      <w:r w:rsidRPr="00795AD7">
        <w:rPr>
          <w:rFonts w:ascii="Courier New" w:hAnsi="Courier New"/>
          <w:color w:val="000000"/>
          <w:kern w:val="0"/>
          <w:sz w:val="24"/>
          <w:szCs w:val="24"/>
          <w:lang w:eastAsia="ru-RU" w:bidi="ru-RU"/>
        </w:rPr>
        <w:t xml:space="preserve">.: </w:t>
      </w:r>
      <w:r w:rsidRPr="00795AD7">
        <w:rPr>
          <w:rFonts w:ascii="Courier New" w:hAnsi="Courier New" w:hint="eastAsia"/>
          <w:color w:val="000000"/>
          <w:kern w:val="0"/>
          <w:sz w:val="24"/>
          <w:szCs w:val="24"/>
          <w:lang w:eastAsia="ru-RU" w:bidi="ru-RU"/>
        </w:rPr>
        <w:t>ил</w:t>
      </w:r>
      <w:r w:rsidRPr="00795AD7">
        <w:rPr>
          <w:rFonts w:ascii="Courier New" w:hAnsi="Courier New"/>
          <w:color w:val="000000"/>
          <w:kern w:val="0"/>
          <w:sz w:val="24"/>
          <w:szCs w:val="24"/>
          <w:lang w:eastAsia="ru-RU" w:bidi="ru-RU"/>
        </w:rPr>
        <w:t>.</w:t>
      </w:r>
    </w:p>
    <w:p w:rsidR="00795AD7" w:rsidRDefault="00795AD7" w:rsidP="00795AD7">
      <w:pPr>
        <w:rPr>
          <w:rFonts w:ascii="Courier New" w:hAnsi="Courier New"/>
          <w:color w:val="000000"/>
          <w:kern w:val="0"/>
          <w:sz w:val="24"/>
          <w:szCs w:val="24"/>
          <w:lang w:val="en-US" w:eastAsia="ru-RU" w:bidi="ru-RU"/>
        </w:rPr>
      </w:pPr>
    </w:p>
    <w:p w:rsidR="00795AD7" w:rsidRDefault="00795AD7" w:rsidP="00795AD7">
      <w:pPr>
        <w:rPr>
          <w:rFonts w:ascii="Courier New" w:hAnsi="Courier New"/>
          <w:color w:val="000000"/>
          <w:kern w:val="0"/>
          <w:sz w:val="24"/>
          <w:szCs w:val="24"/>
          <w:lang w:val="en-US" w:eastAsia="ru-RU" w:bidi="ru-RU"/>
        </w:rPr>
      </w:pPr>
    </w:p>
    <w:p w:rsidR="00795AD7" w:rsidRPr="00795AD7" w:rsidRDefault="00795AD7" w:rsidP="00795AD7">
      <w:pPr>
        <w:tabs>
          <w:tab w:val="clear" w:pos="709"/>
        </w:tabs>
        <w:suppressAutoHyphens w:val="0"/>
        <w:spacing w:after="328" w:line="280" w:lineRule="exact"/>
        <w:ind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ВОЕННО-МЕДИЦИНСКАЯ АКАДЕМИЯ имени С.М. КИРОВА</w:t>
      </w:r>
    </w:p>
    <w:p w:rsidR="00795AD7" w:rsidRPr="00795AD7" w:rsidRDefault="00795AD7" w:rsidP="00795AD7">
      <w:pPr>
        <w:keepNext/>
        <w:keepLines/>
        <w:tabs>
          <w:tab w:val="clear" w:pos="709"/>
        </w:tabs>
        <w:suppressAutoHyphens w:val="0"/>
        <w:spacing w:after="878" w:line="300" w:lineRule="exact"/>
        <w:ind w:firstLine="0"/>
        <w:jc w:val="left"/>
        <w:outlineLvl w:val="1"/>
        <w:rPr>
          <w:rFonts w:ascii="Times New Roman" w:eastAsia="Times New Roman" w:hAnsi="Times New Roman" w:cs="Times New Roman"/>
          <w:b/>
          <w:bCs/>
          <w:color w:val="000000"/>
          <w:spacing w:val="20"/>
          <w:w w:val="70"/>
          <w:kern w:val="0"/>
          <w:sz w:val="30"/>
          <w:szCs w:val="30"/>
          <w:lang w:eastAsia="ru-RU" w:bidi="ru-RU"/>
        </w:rPr>
      </w:pPr>
      <w:bookmarkStart w:id="0" w:name="bookmark0"/>
      <w:r w:rsidRPr="00795AD7">
        <w:rPr>
          <w:rFonts w:ascii="Times New Roman" w:eastAsia="Times New Roman" w:hAnsi="Times New Roman" w:cs="Times New Roman"/>
          <w:b/>
          <w:bCs/>
          <w:color w:val="000000"/>
          <w:spacing w:val="20"/>
          <w:w w:val="70"/>
          <w:kern w:val="0"/>
          <w:sz w:val="30"/>
          <w:szCs w:val="30"/>
          <w:lang w:eastAsia="ru-RU" w:bidi="ru-RU"/>
        </w:rPr>
        <w:t>04.20</w:t>
      </w:r>
      <w:r w:rsidRPr="00795AD7">
        <w:rPr>
          <w:rFonts w:ascii="Arial Narrow" w:eastAsia="Arial Narrow" w:hAnsi="Arial Narrow" w:cs="Arial Narrow"/>
          <w:color w:val="000000"/>
          <w:kern w:val="0"/>
          <w:sz w:val="8"/>
          <w:szCs w:val="8"/>
          <w:lang w:eastAsia="ru-RU" w:bidi="ru-RU"/>
        </w:rPr>
        <w:t xml:space="preserve"> </w:t>
      </w:r>
      <w:r w:rsidRPr="00795AD7">
        <w:rPr>
          <w:rFonts w:ascii="Times New Roman" w:eastAsia="Times New Roman" w:hAnsi="Times New Roman" w:cs="Times New Roman"/>
          <w:b/>
          <w:bCs/>
          <w:color w:val="000000"/>
          <w:spacing w:val="20"/>
          <w:w w:val="70"/>
          <w:kern w:val="0"/>
          <w:sz w:val="30"/>
          <w:szCs w:val="30"/>
          <w:lang w:eastAsia="ru-RU" w:bidi="ru-RU"/>
        </w:rPr>
        <w:t>0.4</w:t>
      </w:r>
      <w:r w:rsidRPr="00795AD7">
        <w:rPr>
          <w:rFonts w:ascii="Arial Narrow" w:eastAsia="Arial Narrow" w:hAnsi="Arial Narrow" w:cs="Arial Narrow"/>
          <w:color w:val="000000"/>
          <w:kern w:val="0"/>
          <w:sz w:val="8"/>
          <w:szCs w:val="8"/>
          <w:lang w:eastAsia="ru-RU" w:bidi="ru-RU"/>
        </w:rPr>
        <w:t xml:space="preserve"> </w:t>
      </w:r>
      <w:r w:rsidRPr="00795AD7">
        <w:rPr>
          <w:rFonts w:ascii="Times New Roman" w:eastAsia="Times New Roman" w:hAnsi="Times New Roman" w:cs="Times New Roman"/>
          <w:b/>
          <w:bCs/>
          <w:color w:val="000000"/>
          <w:spacing w:val="20"/>
          <w:w w:val="70"/>
          <w:kern w:val="0"/>
          <w:sz w:val="30"/>
          <w:szCs w:val="30"/>
          <w:lang w:eastAsia="ru-RU" w:bidi="ru-RU"/>
        </w:rPr>
        <w:t>1</w:t>
      </w:r>
      <w:r w:rsidRPr="00795AD7">
        <w:rPr>
          <w:rFonts w:ascii="Arial Narrow" w:eastAsia="Arial Narrow" w:hAnsi="Arial Narrow" w:cs="Arial Narrow"/>
          <w:color w:val="000000"/>
          <w:kern w:val="0"/>
          <w:sz w:val="8"/>
          <w:szCs w:val="8"/>
          <w:lang w:eastAsia="ru-RU" w:bidi="ru-RU"/>
        </w:rPr>
        <w:t xml:space="preserve"> </w:t>
      </w:r>
      <w:r w:rsidRPr="00795AD7">
        <w:rPr>
          <w:rFonts w:ascii="Times New Roman" w:eastAsia="Times New Roman" w:hAnsi="Times New Roman" w:cs="Times New Roman"/>
          <w:b/>
          <w:bCs/>
          <w:color w:val="000000"/>
          <w:spacing w:val="50"/>
          <w:w w:val="70"/>
          <w:kern w:val="0"/>
          <w:sz w:val="30"/>
          <w:szCs w:val="30"/>
          <w:lang w:eastAsia="ru-RU" w:bidi="ru-RU"/>
        </w:rPr>
        <w:t>5069</w:t>
      </w:r>
      <w:r w:rsidRPr="00795AD7">
        <w:rPr>
          <w:rFonts w:ascii="Arial Narrow" w:eastAsia="Arial Narrow" w:hAnsi="Arial Narrow" w:cs="Arial Narrow"/>
          <w:color w:val="000000"/>
          <w:kern w:val="0"/>
          <w:sz w:val="8"/>
          <w:szCs w:val="8"/>
          <w:lang w:eastAsia="ru-RU" w:bidi="ru-RU"/>
        </w:rPr>
        <w:t xml:space="preserve"> "</w:t>
      </w:r>
      <w:bookmarkEnd w:id="0"/>
    </w:p>
    <w:p w:rsidR="00795AD7" w:rsidRPr="00795AD7" w:rsidRDefault="00795AD7" w:rsidP="00795AD7">
      <w:pPr>
        <w:tabs>
          <w:tab w:val="clear" w:pos="709"/>
        </w:tabs>
        <w:suppressAutoHyphens w:val="0"/>
        <w:spacing w:after="1011" w:line="280" w:lineRule="exact"/>
        <w:ind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ЦАТУРЯН Вардан Викторович</w:t>
      </w:r>
    </w:p>
    <w:p w:rsidR="00795AD7" w:rsidRPr="00795AD7" w:rsidRDefault="00795AD7" w:rsidP="00795AD7">
      <w:pPr>
        <w:tabs>
          <w:tab w:val="clear" w:pos="709"/>
        </w:tabs>
        <w:suppressAutoHyphens w:val="0"/>
        <w:spacing w:after="0" w:line="494" w:lineRule="exact"/>
        <w:ind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ДИСФУНКЦИЯ ЭНДОТЕЛИЯ И ЕЕ ВЗАИМОСВЯЗЬ С ДРУГИМИ ФАКТОРАМИ РИСКА СОСУДИСТЫХ ОСЛОЖНЕНИЙ У БОЛЬНЫХ</w:t>
      </w:r>
    </w:p>
    <w:p w:rsidR="00795AD7" w:rsidRPr="00795AD7" w:rsidRDefault="00795AD7" w:rsidP="00795AD7">
      <w:pPr>
        <w:tabs>
          <w:tab w:val="clear" w:pos="709"/>
        </w:tabs>
        <w:suppressAutoHyphens w:val="0"/>
        <w:spacing w:after="652" w:line="494" w:lineRule="exact"/>
        <w:ind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САХАРНЫМ ДИАБЕТОМ ТИПА 2</w:t>
      </w:r>
    </w:p>
    <w:p w:rsidR="00795AD7" w:rsidRPr="00795AD7" w:rsidRDefault="00795AD7" w:rsidP="00795AD7">
      <w:pPr>
        <w:tabs>
          <w:tab w:val="clear" w:pos="709"/>
        </w:tabs>
        <w:suppressAutoHyphens w:val="0"/>
        <w:spacing w:after="1001" w:line="280" w:lineRule="exact"/>
        <w:ind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14.00.05 — внутренние болезни</w:t>
      </w:r>
    </w:p>
    <w:p w:rsidR="00795AD7" w:rsidRPr="00795AD7" w:rsidRDefault="00795AD7" w:rsidP="00795AD7">
      <w:pPr>
        <w:tabs>
          <w:tab w:val="clear" w:pos="709"/>
        </w:tabs>
        <w:suppressAutoHyphens w:val="0"/>
        <w:spacing w:after="960" w:line="494" w:lineRule="exact"/>
        <w:ind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Диссертация на соискание ученой степени кандидата медицинских наук</w:t>
      </w:r>
    </w:p>
    <w:p w:rsidR="00795AD7" w:rsidRPr="00795AD7" w:rsidRDefault="00795AD7" w:rsidP="00795AD7">
      <w:pPr>
        <w:tabs>
          <w:tab w:val="clear" w:pos="709"/>
        </w:tabs>
        <w:suppressAutoHyphens w:val="0"/>
        <w:spacing w:after="1612" w:line="494" w:lineRule="exact"/>
        <w:ind w:left="6080" w:right="260" w:firstLine="24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Научный руководитель: доктор медицинских наук, профессор В.Л. БАРАНОВ</w:t>
      </w:r>
    </w:p>
    <w:p w:rsidR="00795AD7" w:rsidRPr="00795AD7" w:rsidRDefault="00795AD7" w:rsidP="00795AD7">
      <w:pPr>
        <w:tabs>
          <w:tab w:val="clear" w:pos="709"/>
        </w:tabs>
        <w:suppressAutoHyphens w:val="0"/>
        <w:spacing w:after="37" w:line="280" w:lineRule="exact"/>
        <w:ind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Санкт-Петербург</w:t>
      </w:r>
    </w:p>
    <w:p w:rsidR="00795AD7" w:rsidRPr="00795AD7" w:rsidRDefault="00795AD7" w:rsidP="00795AD7">
      <w:pPr>
        <w:tabs>
          <w:tab w:val="clear" w:pos="709"/>
        </w:tabs>
        <w:suppressAutoHyphens w:val="0"/>
        <w:spacing w:after="0" w:line="280" w:lineRule="exact"/>
        <w:ind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2004</w:t>
      </w:r>
      <w:r w:rsidRPr="00795AD7">
        <w:rPr>
          <w:rFonts w:ascii="Times New Roman" w:eastAsia="Times New Roman" w:hAnsi="Times New Roman" w:cs="Times New Roman"/>
          <w:b/>
          <w:bCs/>
          <w:color w:val="000000"/>
          <w:kern w:val="0"/>
          <w:sz w:val="28"/>
          <w:szCs w:val="28"/>
          <w:lang w:eastAsia="ru-RU" w:bidi="ru-RU"/>
        </w:rPr>
        <w:br w:type="page"/>
      </w:r>
    </w:p>
    <w:p w:rsidR="00795AD7" w:rsidRPr="00795AD7" w:rsidRDefault="00795AD7" w:rsidP="00795AD7">
      <w:pPr>
        <w:tabs>
          <w:tab w:val="clear" w:pos="709"/>
        </w:tabs>
        <w:suppressAutoHyphens w:val="0"/>
        <w:spacing w:after="426" w:line="280" w:lineRule="exact"/>
        <w:ind w:left="178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СПИСОК ПРИНЯТЫХ СОКРАЩЕНИЙ</w:t>
      </w:r>
    </w:p>
    <w:p w:rsidR="00795AD7" w:rsidRPr="00795AD7" w:rsidRDefault="00795AD7" w:rsidP="00795AD7">
      <w:pPr>
        <w:tabs>
          <w:tab w:val="clear" w:pos="709"/>
        </w:tabs>
        <w:suppressAutoHyphens w:val="0"/>
        <w:spacing w:after="0" w:line="480" w:lineRule="exact"/>
        <w:ind w:left="20" w:right="28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val="en-US" w:eastAsia="en-US" w:bidi="en-US"/>
        </w:rPr>
        <w:t>AGE</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 xml:space="preserve">- конечные продукты усиленного гликозилирования, </w:t>
      </w:r>
      <w:r w:rsidRPr="00795AD7">
        <w:rPr>
          <w:rFonts w:ascii="Times New Roman" w:eastAsia="Times New Roman" w:hAnsi="Times New Roman" w:cs="Times New Roman"/>
          <w:b/>
          <w:bCs/>
          <w:color w:val="000000"/>
          <w:kern w:val="0"/>
          <w:sz w:val="28"/>
          <w:szCs w:val="28"/>
          <w:lang w:val="en-US" w:eastAsia="en-US" w:bidi="en-US"/>
        </w:rPr>
        <w:t>L</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NMMA</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 xml:space="preserve">- </w:t>
      </w:r>
      <w:r w:rsidRPr="00795AD7">
        <w:rPr>
          <w:rFonts w:ascii="Times New Roman" w:eastAsia="Times New Roman" w:hAnsi="Times New Roman" w:cs="Times New Roman"/>
          <w:b/>
          <w:bCs/>
          <w:color w:val="000000"/>
          <w:kern w:val="0"/>
          <w:sz w:val="28"/>
          <w:szCs w:val="28"/>
          <w:lang w:val="en-US" w:eastAsia="en-US" w:bidi="en-US"/>
        </w:rPr>
        <w:t>N</w:t>
      </w:r>
      <w:r w:rsidRPr="00795AD7">
        <w:rPr>
          <w:rFonts w:ascii="Times New Roman" w:eastAsia="Times New Roman" w:hAnsi="Times New Roman" w:cs="Times New Roman"/>
          <w:b/>
          <w:bCs/>
          <w:color w:val="000000"/>
          <w:kern w:val="0"/>
          <w:sz w:val="28"/>
          <w:szCs w:val="28"/>
          <w:lang w:eastAsia="ru-RU" w:bidi="ru-RU"/>
        </w:rPr>
        <w:t>-монометил-Ь-аргинин,</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val="en-US" w:eastAsia="en-US" w:bidi="en-US"/>
        </w:rPr>
        <w:t>N</w:t>
      </w:r>
      <w:r w:rsidRPr="00795AD7">
        <w:rPr>
          <w:rFonts w:ascii="Times New Roman" w:eastAsia="Times New Roman" w:hAnsi="Times New Roman" w:cs="Times New Roman"/>
          <w:b/>
          <w:bCs/>
          <w:color w:val="000000"/>
          <w:kern w:val="0"/>
          <w:sz w:val="28"/>
          <w:szCs w:val="28"/>
          <w:lang w:eastAsia="en-US" w:bidi="en-US"/>
        </w:rPr>
        <w:t xml:space="preserve">0 </w:t>
      </w:r>
      <w:r w:rsidRPr="00795AD7">
        <w:rPr>
          <w:rFonts w:ascii="Times New Roman" w:eastAsia="Times New Roman" w:hAnsi="Times New Roman" w:cs="Times New Roman"/>
          <w:b/>
          <w:bCs/>
          <w:color w:val="000000"/>
          <w:kern w:val="0"/>
          <w:sz w:val="28"/>
          <w:szCs w:val="28"/>
          <w:lang w:eastAsia="ru-RU" w:bidi="ru-RU"/>
        </w:rPr>
        <w:t>— оксид азота,</w:t>
      </w:r>
    </w:p>
    <w:p w:rsidR="00795AD7" w:rsidRPr="00795AD7" w:rsidRDefault="00795AD7" w:rsidP="00795AD7">
      <w:pPr>
        <w:tabs>
          <w:tab w:val="clear" w:pos="709"/>
        </w:tabs>
        <w:suppressAutoHyphens w:val="0"/>
        <w:spacing w:after="0" w:line="480" w:lineRule="exact"/>
        <w:ind w:left="20" w:right="28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val="en-US" w:eastAsia="en-US" w:bidi="en-US"/>
        </w:rPr>
        <w:t>m</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 xml:space="preserve">— ошибка средней арифметической, р - критерий значимости, г - коэффициент корреляции, </w:t>
      </w:r>
      <w:r w:rsidRPr="00795AD7">
        <w:rPr>
          <w:rFonts w:ascii="Times New Roman" w:eastAsia="Times New Roman" w:hAnsi="Times New Roman" w:cs="Times New Roman"/>
          <w:b/>
          <w:bCs/>
          <w:color w:val="000000"/>
          <w:kern w:val="0"/>
          <w:sz w:val="28"/>
          <w:szCs w:val="28"/>
          <w:lang w:val="en-US" w:eastAsia="en-US" w:bidi="en-US"/>
        </w:rPr>
        <w:t>t</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 критерий Стьюдента,</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АГ — артериальная гипертензия,</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АТФ - аденозинтрифосфат,</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ДАД - диастолическое артериальное давление,</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ДН — диабетическая нефропатия,</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ДЭ — дисфункция эндотелия,</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ИБС — ишемическая болезнь сердца,</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ИМТ - индекс массы тела,</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ЛПВП - липопротеиды высокой плотности,</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ЛПНП - липопротеиды низкой плотности,</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ЛПОНП - липопротеиды очень низкой плотности,</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М — средняя арифметическая,</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МАУ - микроальбуминурия,</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НАД — никотинамидадениндинуклеотид,</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НАДФ - никотинамидадениндинуклеотидфосфат,</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ОХ - общий холестерин,</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ПА - плечевая артерия,</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САД - систолическое артериальное давление,</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СД - сахарный диабет,</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ФВ - фактор Виллебранда,</w:t>
      </w:r>
    </w:p>
    <w:p w:rsidR="00795AD7" w:rsidRPr="00795AD7" w:rsidRDefault="00795AD7" w:rsidP="00795AD7">
      <w:pPr>
        <w:tabs>
          <w:tab w:val="clear" w:pos="709"/>
        </w:tabs>
        <w:suppressAutoHyphens w:val="0"/>
        <w:spacing w:after="0" w:line="480" w:lineRule="exact"/>
        <w:ind w:left="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ЭЗВД - эндотелийзависимая вазодилатация</w:t>
      </w:r>
    </w:p>
    <w:p w:rsidR="00795AD7" w:rsidRPr="00795AD7" w:rsidRDefault="00795AD7" w:rsidP="00795AD7">
      <w:pPr>
        <w:tabs>
          <w:tab w:val="clear" w:pos="709"/>
        </w:tabs>
        <w:suppressAutoHyphens w:val="0"/>
        <w:spacing w:after="0" w:line="480" w:lineRule="exact"/>
        <w:ind w:right="400" w:firstLine="0"/>
        <w:jc w:val="left"/>
        <w:rPr>
          <w:rFonts w:ascii="Times New Roman" w:eastAsia="Times New Roman" w:hAnsi="Times New Roman" w:cs="Times New Roman"/>
          <w:b/>
          <w:bCs/>
          <w:color w:val="000000"/>
          <w:kern w:val="0"/>
          <w:sz w:val="28"/>
          <w:szCs w:val="28"/>
          <w:lang w:eastAsia="ru-RU" w:bidi="ru-RU"/>
        </w:rPr>
        <w:sectPr w:rsidR="00795AD7" w:rsidRPr="00795AD7" w:rsidSect="00795AD7">
          <w:pgSz w:w="11909" w:h="16838"/>
          <w:pgMar w:top="1538" w:right="1133" w:bottom="1538" w:left="1157" w:header="0" w:footer="3" w:gutter="0"/>
          <w:cols w:space="720"/>
          <w:noEndnote/>
          <w:docGrid w:linePitch="360"/>
        </w:sectPr>
      </w:pPr>
      <w:r w:rsidRPr="00795AD7">
        <w:rPr>
          <w:rFonts w:ascii="Times New Roman" w:eastAsia="Times New Roman" w:hAnsi="Times New Roman" w:cs="Times New Roman"/>
          <w:b/>
          <w:bCs/>
          <w:color w:val="000000"/>
          <w:kern w:val="0"/>
          <w:sz w:val="28"/>
          <w:szCs w:val="28"/>
          <w:lang w:eastAsia="ru-RU" w:bidi="ru-RU"/>
        </w:rPr>
        <w:t>ЭНЗВД - эндотелийнезависимая вазодилатация, ЭКГ - электрокардиограмма</w:t>
      </w:r>
    </w:p>
    <w:p w:rsidR="00795AD7" w:rsidRPr="00795AD7" w:rsidRDefault="00795AD7" w:rsidP="00795AD7">
      <w:pPr>
        <w:tabs>
          <w:tab w:val="clear" w:pos="709"/>
        </w:tabs>
        <w:suppressAutoHyphens w:val="0"/>
        <w:spacing w:after="481" w:line="280" w:lineRule="exact"/>
        <w:ind w:left="20"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ОГЛАВЛЕНИЕ</w:t>
      </w:r>
    </w:p>
    <w:p w:rsidR="00795AD7" w:rsidRPr="00795AD7" w:rsidRDefault="00795AD7" w:rsidP="00795AD7">
      <w:pPr>
        <w:tabs>
          <w:tab w:val="clear" w:pos="709"/>
          <w:tab w:val="right" w:leader="dot" w:pos="9218"/>
        </w:tabs>
        <w:suppressAutoHyphens w:val="0"/>
        <w:spacing w:after="0" w:line="475" w:lineRule="exact"/>
        <w:ind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fldChar w:fldCharType="begin"/>
      </w:r>
      <w:r w:rsidRPr="00795AD7">
        <w:rPr>
          <w:rFonts w:ascii="Times New Roman" w:eastAsia="Times New Roman" w:hAnsi="Times New Roman" w:cs="Times New Roman"/>
          <w:b/>
          <w:bCs/>
          <w:color w:val="000000"/>
          <w:kern w:val="0"/>
          <w:sz w:val="28"/>
          <w:szCs w:val="28"/>
          <w:lang w:eastAsia="ru-RU" w:bidi="ru-RU"/>
        </w:rPr>
        <w:instrText xml:space="preserve"> TOC \o "1-5" \h \z </w:instrText>
      </w:r>
      <w:r w:rsidRPr="00795AD7">
        <w:rPr>
          <w:rFonts w:ascii="Times New Roman" w:eastAsia="Times New Roman" w:hAnsi="Times New Roman" w:cs="Times New Roman"/>
          <w:b/>
          <w:bCs/>
          <w:color w:val="000000"/>
          <w:kern w:val="0"/>
          <w:sz w:val="28"/>
          <w:szCs w:val="28"/>
          <w:lang w:eastAsia="ru-RU" w:bidi="ru-RU"/>
        </w:rPr>
        <w:fldChar w:fldCharType="separate"/>
      </w:r>
      <w:r w:rsidRPr="00795AD7">
        <w:rPr>
          <w:rFonts w:ascii="Times New Roman" w:eastAsia="Times New Roman" w:hAnsi="Times New Roman" w:cs="Times New Roman"/>
          <w:b/>
          <w:bCs/>
          <w:color w:val="000000"/>
          <w:kern w:val="0"/>
          <w:sz w:val="28"/>
          <w:szCs w:val="28"/>
          <w:lang w:eastAsia="ru-RU" w:bidi="ru-RU"/>
        </w:rPr>
        <w:t>ВВЕДЕНИЕ</w:t>
      </w:r>
      <w:r w:rsidRPr="00795AD7">
        <w:rPr>
          <w:rFonts w:ascii="Times New Roman" w:eastAsia="Times New Roman" w:hAnsi="Times New Roman" w:cs="Times New Roman"/>
          <w:b/>
          <w:bCs/>
          <w:color w:val="000000"/>
          <w:kern w:val="0"/>
          <w:sz w:val="28"/>
          <w:szCs w:val="28"/>
          <w:lang w:eastAsia="ru-RU" w:bidi="ru-RU"/>
        </w:rPr>
        <w:tab/>
        <w:t>6</w:t>
      </w:r>
    </w:p>
    <w:p w:rsidR="00795AD7" w:rsidRPr="00795AD7" w:rsidRDefault="00795AD7" w:rsidP="00795AD7">
      <w:pPr>
        <w:tabs>
          <w:tab w:val="clear" w:pos="709"/>
          <w:tab w:val="right" w:leader="dot" w:pos="9238"/>
        </w:tabs>
        <w:suppressAutoHyphens w:val="0"/>
        <w:spacing w:after="0" w:line="475" w:lineRule="exact"/>
        <w:ind w:left="20" w:right="60"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Глава 1. ДЭ И ЕЕ ВЗАИМОСВЯЗЬ С ДРУГИМИ ФАКТОРАМИ РИСКА СОСУДИСТЫХ ОСЛОЖНЕНИЙ У БОЛЬНЫХ СД ТИПА 2 (обзор литературы)</w:t>
      </w:r>
      <w:r w:rsidRPr="00795AD7">
        <w:rPr>
          <w:rFonts w:ascii="Times New Roman" w:eastAsia="Times New Roman" w:hAnsi="Times New Roman" w:cs="Times New Roman"/>
          <w:b/>
          <w:bCs/>
          <w:color w:val="000000"/>
          <w:kern w:val="0"/>
          <w:sz w:val="28"/>
          <w:szCs w:val="28"/>
          <w:lang w:eastAsia="ru-RU" w:bidi="ru-RU"/>
        </w:rPr>
        <w:tab/>
        <w:t>12</w:t>
      </w:r>
    </w:p>
    <w:p w:rsidR="00795AD7" w:rsidRPr="00795AD7" w:rsidRDefault="00795AD7" w:rsidP="00795AD7">
      <w:pPr>
        <w:numPr>
          <w:ilvl w:val="0"/>
          <w:numId w:val="6"/>
        </w:numPr>
        <w:tabs>
          <w:tab w:val="clear" w:pos="709"/>
          <w:tab w:val="right" w:leader="dot" w:pos="9238"/>
        </w:tabs>
        <w:suppressAutoHyphens w:val="0"/>
        <w:spacing w:after="0" w:line="475" w:lineRule="exact"/>
        <w:ind w:right="6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Роль эндотелия в обеспечении внутрисосудистого гомеостаза и поддержании сосудистого тонуса</w:t>
      </w:r>
      <w:r w:rsidRPr="00795AD7">
        <w:rPr>
          <w:rFonts w:ascii="Times New Roman" w:eastAsia="Times New Roman" w:hAnsi="Times New Roman" w:cs="Times New Roman"/>
          <w:b/>
          <w:bCs/>
          <w:color w:val="000000"/>
          <w:kern w:val="0"/>
          <w:sz w:val="28"/>
          <w:szCs w:val="28"/>
          <w:lang w:eastAsia="ru-RU" w:bidi="ru-RU"/>
        </w:rPr>
        <w:tab/>
        <w:t>12</w:t>
      </w:r>
    </w:p>
    <w:p w:rsidR="00795AD7" w:rsidRPr="00795AD7" w:rsidRDefault="00795AD7" w:rsidP="00795AD7">
      <w:pPr>
        <w:numPr>
          <w:ilvl w:val="0"/>
          <w:numId w:val="6"/>
        </w:numPr>
        <w:tabs>
          <w:tab w:val="clear" w:pos="709"/>
          <w:tab w:val="right" w:leader="dot" w:pos="9238"/>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Клиническая оценка функции эндотелия</w:t>
      </w:r>
      <w:r w:rsidRPr="00795AD7">
        <w:rPr>
          <w:rFonts w:ascii="Times New Roman" w:eastAsia="Times New Roman" w:hAnsi="Times New Roman" w:cs="Times New Roman"/>
          <w:b/>
          <w:bCs/>
          <w:color w:val="000000"/>
          <w:kern w:val="0"/>
          <w:sz w:val="28"/>
          <w:szCs w:val="28"/>
          <w:lang w:eastAsia="ru-RU" w:bidi="ru-RU"/>
        </w:rPr>
        <w:tab/>
        <w:t>18</w:t>
      </w:r>
    </w:p>
    <w:p w:rsidR="00795AD7" w:rsidRPr="00795AD7" w:rsidRDefault="00795AD7" w:rsidP="00795AD7">
      <w:pPr>
        <w:numPr>
          <w:ilvl w:val="0"/>
          <w:numId w:val="6"/>
        </w:numPr>
        <w:tabs>
          <w:tab w:val="clear" w:pos="709"/>
          <w:tab w:val="right" w:leader="dot" w:pos="9238"/>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ДЭ у больных СД типа 2</w:t>
      </w:r>
      <w:r w:rsidRPr="00795AD7">
        <w:rPr>
          <w:rFonts w:ascii="Times New Roman" w:eastAsia="Times New Roman" w:hAnsi="Times New Roman" w:cs="Times New Roman"/>
          <w:b/>
          <w:bCs/>
          <w:color w:val="000000"/>
          <w:kern w:val="0"/>
          <w:sz w:val="28"/>
          <w:szCs w:val="28"/>
          <w:lang w:eastAsia="ru-RU" w:bidi="ru-RU"/>
        </w:rPr>
        <w:tab/>
        <w:t>23</w:t>
      </w:r>
    </w:p>
    <w:p w:rsidR="00795AD7" w:rsidRPr="00795AD7" w:rsidRDefault="00795AD7" w:rsidP="00795AD7">
      <w:pPr>
        <w:numPr>
          <w:ilvl w:val="0"/>
          <w:numId w:val="7"/>
        </w:numPr>
        <w:tabs>
          <w:tab w:val="clear" w:pos="709"/>
          <w:tab w:val="right" w:leader="dot" w:pos="9238"/>
        </w:tabs>
        <w:suppressAutoHyphens w:val="0"/>
        <w:spacing w:after="0" w:line="475" w:lineRule="exact"/>
        <w:ind w:right="6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Воздействие гипергликемии на ДЭ у больных СД типа 2</w:t>
      </w:r>
      <w:r w:rsidRPr="00795AD7">
        <w:rPr>
          <w:rFonts w:ascii="Times New Roman" w:eastAsia="Times New Roman" w:hAnsi="Times New Roman" w:cs="Times New Roman"/>
          <w:b/>
          <w:bCs/>
          <w:color w:val="000000"/>
          <w:kern w:val="0"/>
          <w:sz w:val="28"/>
          <w:szCs w:val="28"/>
          <w:lang w:eastAsia="ru-RU" w:bidi="ru-RU"/>
        </w:rPr>
        <w:tab/>
        <w:t>24</w:t>
      </w:r>
    </w:p>
    <w:p w:rsidR="00795AD7" w:rsidRPr="00795AD7" w:rsidRDefault="00795AD7" w:rsidP="00795AD7">
      <w:pPr>
        <w:numPr>
          <w:ilvl w:val="0"/>
          <w:numId w:val="7"/>
        </w:numPr>
        <w:tabs>
          <w:tab w:val="clear" w:pos="709"/>
          <w:tab w:val="right" w:leader="dot" w:pos="9238"/>
        </w:tabs>
        <w:suppressAutoHyphens w:val="0"/>
        <w:spacing w:after="0" w:line="475" w:lineRule="exact"/>
        <w:ind w:right="6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Воздействие продуктов неферментативного гликозилирования на ДЭ у больных СД типа 2</w:t>
      </w:r>
      <w:r w:rsidRPr="00795AD7">
        <w:rPr>
          <w:rFonts w:ascii="Times New Roman" w:eastAsia="Times New Roman" w:hAnsi="Times New Roman" w:cs="Times New Roman"/>
          <w:b/>
          <w:bCs/>
          <w:color w:val="000000"/>
          <w:kern w:val="0"/>
          <w:sz w:val="28"/>
          <w:szCs w:val="28"/>
          <w:lang w:eastAsia="ru-RU" w:bidi="ru-RU"/>
        </w:rPr>
        <w:tab/>
        <w:t>24</w:t>
      </w:r>
    </w:p>
    <w:p w:rsidR="00795AD7" w:rsidRPr="00795AD7" w:rsidRDefault="00795AD7" w:rsidP="00795AD7">
      <w:pPr>
        <w:numPr>
          <w:ilvl w:val="0"/>
          <w:numId w:val="7"/>
        </w:numPr>
        <w:tabs>
          <w:tab w:val="clear" w:pos="709"/>
          <w:tab w:val="right" w:leader="dot" w:pos="9238"/>
        </w:tabs>
        <w:suppressAutoHyphens w:val="0"/>
        <w:spacing w:after="0" w:line="475" w:lineRule="exact"/>
        <w:ind w:right="6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Воздействие продуктов полиолового пути превращения глюкозы на ДЭ у больных СД типа 2</w:t>
      </w:r>
      <w:r w:rsidRPr="00795AD7">
        <w:rPr>
          <w:rFonts w:ascii="Times New Roman" w:eastAsia="Times New Roman" w:hAnsi="Times New Roman" w:cs="Times New Roman"/>
          <w:b/>
          <w:bCs/>
          <w:color w:val="000000"/>
          <w:kern w:val="0"/>
          <w:sz w:val="28"/>
          <w:szCs w:val="28"/>
          <w:lang w:eastAsia="ru-RU" w:bidi="ru-RU"/>
        </w:rPr>
        <w:tab/>
        <w:t>26</w:t>
      </w:r>
    </w:p>
    <w:p w:rsidR="00795AD7" w:rsidRPr="00795AD7" w:rsidRDefault="00795AD7" w:rsidP="00795AD7">
      <w:pPr>
        <w:numPr>
          <w:ilvl w:val="0"/>
          <w:numId w:val="7"/>
        </w:numPr>
        <w:tabs>
          <w:tab w:val="clear" w:pos="709"/>
          <w:tab w:val="right" w:leader="dot" w:pos="9238"/>
        </w:tabs>
        <w:suppressAutoHyphens w:val="0"/>
        <w:spacing w:after="0" w:line="475" w:lineRule="exact"/>
        <w:ind w:right="6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Воздействие протеинкиназы С на ДЭ у больных СД типа 2</w:t>
      </w:r>
      <w:r w:rsidRPr="00795AD7">
        <w:rPr>
          <w:rFonts w:ascii="Times New Roman" w:eastAsia="Times New Roman" w:hAnsi="Times New Roman" w:cs="Times New Roman"/>
          <w:b/>
          <w:bCs/>
          <w:color w:val="000000"/>
          <w:kern w:val="0"/>
          <w:sz w:val="28"/>
          <w:szCs w:val="28"/>
          <w:lang w:eastAsia="ru-RU" w:bidi="ru-RU"/>
        </w:rPr>
        <w:tab/>
        <w:t>26</w:t>
      </w:r>
    </w:p>
    <w:p w:rsidR="00795AD7" w:rsidRPr="00795AD7" w:rsidRDefault="00795AD7" w:rsidP="00795AD7">
      <w:pPr>
        <w:numPr>
          <w:ilvl w:val="0"/>
          <w:numId w:val="7"/>
        </w:numPr>
        <w:tabs>
          <w:tab w:val="clear" w:pos="709"/>
          <w:tab w:val="right" w:leader="dot" w:pos="9238"/>
        </w:tabs>
        <w:suppressAutoHyphens w:val="0"/>
        <w:spacing w:after="0" w:line="475" w:lineRule="exact"/>
        <w:ind w:right="6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Воздействие свободных радикалов и гипоксии на ДЭ у больных СД типа 2</w:t>
      </w:r>
      <w:r w:rsidRPr="00795AD7">
        <w:rPr>
          <w:rFonts w:ascii="Times New Roman" w:eastAsia="Times New Roman" w:hAnsi="Times New Roman" w:cs="Times New Roman"/>
          <w:b/>
          <w:bCs/>
          <w:color w:val="000000"/>
          <w:kern w:val="0"/>
          <w:sz w:val="28"/>
          <w:szCs w:val="28"/>
          <w:lang w:eastAsia="ru-RU" w:bidi="ru-RU"/>
        </w:rPr>
        <w:tab/>
        <w:t>27</w:t>
      </w:r>
    </w:p>
    <w:p w:rsidR="00795AD7" w:rsidRPr="00795AD7" w:rsidRDefault="00795AD7" w:rsidP="00795AD7">
      <w:pPr>
        <w:numPr>
          <w:ilvl w:val="0"/>
          <w:numId w:val="6"/>
        </w:numPr>
        <w:tabs>
          <w:tab w:val="clear" w:pos="709"/>
          <w:tab w:val="right" w:leader="dot" w:pos="9238"/>
        </w:tabs>
        <w:suppressAutoHyphens w:val="0"/>
        <w:spacing w:after="60" w:line="475" w:lineRule="exact"/>
        <w:ind w:right="6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Участие ДЭ в прогрессировании сосудистых осложнений у больных СД типа 2</w:t>
      </w:r>
      <w:r w:rsidRPr="00795AD7">
        <w:rPr>
          <w:rFonts w:ascii="Times New Roman" w:eastAsia="Times New Roman" w:hAnsi="Times New Roman" w:cs="Times New Roman"/>
          <w:b/>
          <w:bCs/>
          <w:color w:val="000000"/>
          <w:kern w:val="0"/>
          <w:sz w:val="28"/>
          <w:szCs w:val="28"/>
          <w:lang w:eastAsia="ru-RU" w:bidi="ru-RU"/>
        </w:rPr>
        <w:tab/>
        <w:t xml:space="preserve"> 29</w:t>
      </w:r>
    </w:p>
    <w:p w:rsidR="00795AD7" w:rsidRPr="00795AD7" w:rsidRDefault="00795AD7" w:rsidP="00795AD7">
      <w:pPr>
        <w:numPr>
          <w:ilvl w:val="0"/>
          <w:numId w:val="6"/>
        </w:numPr>
        <w:tabs>
          <w:tab w:val="clear" w:pos="709"/>
        </w:tabs>
        <w:suppressAutoHyphens w:val="0"/>
        <w:spacing w:after="0" w:line="475" w:lineRule="exact"/>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Факторы риска сосудистых осложнений СД типа 2 и</w:t>
      </w:r>
    </w:p>
    <w:p w:rsidR="00795AD7" w:rsidRPr="00795AD7" w:rsidRDefault="00795AD7" w:rsidP="00795AD7">
      <w:pPr>
        <w:tabs>
          <w:tab w:val="clear" w:pos="709"/>
          <w:tab w:val="right" w:leader="dot" w:pos="9238"/>
        </w:tabs>
        <w:suppressAutoHyphens w:val="0"/>
        <w:spacing w:after="0" w:line="475" w:lineRule="exact"/>
        <w:ind w:left="20"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сосудодвигательная функция эндотелия</w:t>
      </w:r>
      <w:r w:rsidRPr="00795AD7">
        <w:rPr>
          <w:rFonts w:ascii="Times New Roman" w:eastAsia="Times New Roman" w:hAnsi="Times New Roman" w:cs="Times New Roman"/>
          <w:b/>
          <w:bCs/>
          <w:color w:val="000000"/>
          <w:kern w:val="0"/>
          <w:sz w:val="28"/>
          <w:szCs w:val="28"/>
          <w:lang w:eastAsia="ru-RU" w:bidi="ru-RU"/>
        </w:rPr>
        <w:tab/>
        <w:t>31</w:t>
      </w:r>
    </w:p>
    <w:p w:rsidR="00795AD7" w:rsidRPr="00795AD7" w:rsidRDefault="00795AD7" w:rsidP="00795AD7">
      <w:pPr>
        <w:tabs>
          <w:tab w:val="clear" w:pos="709"/>
          <w:tab w:val="right" w:leader="dot" w:pos="9238"/>
        </w:tabs>
        <w:suppressAutoHyphens w:val="0"/>
        <w:spacing w:after="0" w:line="475" w:lineRule="exact"/>
        <w:ind w:left="20"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Глава 2. МАТЕРИАЛ И МЕТОДЫ ИССЛЕДОВАНИЯ</w:t>
      </w:r>
      <w:r w:rsidRPr="00795AD7">
        <w:rPr>
          <w:rFonts w:ascii="Times New Roman" w:eastAsia="Times New Roman" w:hAnsi="Times New Roman" w:cs="Times New Roman"/>
          <w:b/>
          <w:bCs/>
          <w:color w:val="000000"/>
          <w:kern w:val="0"/>
          <w:sz w:val="28"/>
          <w:szCs w:val="28"/>
          <w:lang w:eastAsia="ru-RU" w:bidi="ru-RU"/>
        </w:rPr>
        <w:tab/>
        <w:t>42</w:t>
      </w:r>
    </w:p>
    <w:p w:rsidR="00795AD7" w:rsidRPr="00795AD7" w:rsidRDefault="00795AD7" w:rsidP="00795AD7">
      <w:pPr>
        <w:numPr>
          <w:ilvl w:val="0"/>
          <w:numId w:val="8"/>
        </w:numPr>
        <w:tabs>
          <w:tab w:val="clear" w:pos="709"/>
          <w:tab w:val="right" w:leader="dot" w:pos="9238"/>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Характеристика обследованных лиц</w:t>
      </w:r>
      <w:r w:rsidRPr="00795AD7">
        <w:rPr>
          <w:rFonts w:ascii="Times New Roman" w:eastAsia="Times New Roman" w:hAnsi="Times New Roman" w:cs="Times New Roman"/>
          <w:b/>
          <w:bCs/>
          <w:color w:val="000000"/>
          <w:kern w:val="0"/>
          <w:sz w:val="28"/>
          <w:szCs w:val="28"/>
          <w:lang w:eastAsia="ru-RU" w:bidi="ru-RU"/>
        </w:rPr>
        <w:tab/>
        <w:t>42</w:t>
      </w:r>
    </w:p>
    <w:p w:rsidR="00795AD7" w:rsidRPr="00795AD7" w:rsidRDefault="00795AD7" w:rsidP="00795AD7">
      <w:pPr>
        <w:numPr>
          <w:ilvl w:val="0"/>
          <w:numId w:val="9"/>
        </w:numPr>
        <w:tabs>
          <w:tab w:val="clear" w:pos="709"/>
          <w:tab w:val="right" w:leader="dot" w:pos="9238"/>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Клинико-лабораторная характеристика больных СД типа 2</w:t>
      </w:r>
      <w:r w:rsidRPr="00795AD7">
        <w:rPr>
          <w:rFonts w:ascii="Times New Roman" w:eastAsia="Times New Roman" w:hAnsi="Times New Roman" w:cs="Times New Roman"/>
          <w:b/>
          <w:bCs/>
          <w:color w:val="000000"/>
          <w:kern w:val="0"/>
          <w:sz w:val="28"/>
          <w:szCs w:val="28"/>
          <w:lang w:eastAsia="ru-RU" w:bidi="ru-RU"/>
        </w:rPr>
        <w:tab/>
        <w:t>42</w:t>
      </w:r>
    </w:p>
    <w:p w:rsidR="00795AD7" w:rsidRPr="00795AD7" w:rsidRDefault="00795AD7" w:rsidP="00795AD7">
      <w:pPr>
        <w:numPr>
          <w:ilvl w:val="0"/>
          <w:numId w:val="9"/>
        </w:numPr>
        <w:tabs>
          <w:tab w:val="clear" w:pos="709"/>
          <w:tab w:val="right" w:leader="dot" w:pos="9238"/>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Клинико-лабораторная характеристика группы сравнения</w:t>
      </w:r>
      <w:r w:rsidRPr="00795AD7">
        <w:rPr>
          <w:rFonts w:ascii="Times New Roman" w:eastAsia="Times New Roman" w:hAnsi="Times New Roman" w:cs="Times New Roman"/>
          <w:b/>
          <w:bCs/>
          <w:color w:val="000000"/>
          <w:kern w:val="0"/>
          <w:sz w:val="28"/>
          <w:szCs w:val="28"/>
          <w:lang w:eastAsia="ru-RU" w:bidi="ru-RU"/>
        </w:rPr>
        <w:tab/>
        <w:t>44</w:t>
      </w:r>
      <w:r w:rsidRPr="00795AD7">
        <w:rPr>
          <w:rFonts w:ascii="Times New Roman" w:eastAsia="Times New Roman" w:hAnsi="Times New Roman" w:cs="Times New Roman"/>
          <w:b/>
          <w:bCs/>
          <w:color w:val="000000"/>
          <w:kern w:val="0"/>
          <w:sz w:val="28"/>
          <w:szCs w:val="28"/>
          <w:lang w:eastAsia="ru-RU" w:bidi="ru-RU"/>
        </w:rPr>
        <w:fldChar w:fldCharType="end"/>
      </w:r>
    </w:p>
    <w:p w:rsidR="00795AD7" w:rsidRPr="00795AD7" w:rsidRDefault="00795AD7" w:rsidP="00795AD7">
      <w:pPr>
        <w:numPr>
          <w:ilvl w:val="0"/>
          <w:numId w:val="9"/>
        </w:numPr>
        <w:tabs>
          <w:tab w:val="clear" w:pos="709"/>
          <w:tab w:val="left" w:pos="834"/>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Характеристика больных СД типа 2, распределенных по группам в</w:t>
      </w:r>
    </w:p>
    <w:p w:rsidR="00795AD7" w:rsidRPr="00795AD7" w:rsidRDefault="00795AD7" w:rsidP="00795AD7">
      <w:pPr>
        <w:tabs>
          <w:tab w:val="clear" w:pos="709"/>
        </w:tabs>
        <w:suppressAutoHyphens w:val="0"/>
        <w:spacing w:after="0" w:line="475" w:lineRule="exact"/>
        <w:ind w:left="20"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зависимости от изучаемых факторов риска сосудистых осложнений 44</w:t>
      </w:r>
    </w:p>
    <w:p w:rsidR="00795AD7" w:rsidRPr="00795AD7" w:rsidRDefault="00795AD7" w:rsidP="00795AD7">
      <w:pPr>
        <w:numPr>
          <w:ilvl w:val="0"/>
          <w:numId w:val="8"/>
        </w:numPr>
        <w:tabs>
          <w:tab w:val="clear" w:pos="709"/>
          <w:tab w:val="left" w:pos="623"/>
          <w:tab w:val="right" w:leader="dot" w:pos="9197"/>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fldChar w:fldCharType="begin"/>
      </w:r>
      <w:r w:rsidRPr="00795AD7">
        <w:rPr>
          <w:rFonts w:ascii="Times New Roman" w:eastAsia="Times New Roman" w:hAnsi="Times New Roman" w:cs="Times New Roman"/>
          <w:b/>
          <w:bCs/>
          <w:color w:val="000000"/>
          <w:kern w:val="0"/>
          <w:sz w:val="28"/>
          <w:szCs w:val="28"/>
          <w:lang w:eastAsia="ru-RU" w:bidi="ru-RU"/>
        </w:rPr>
        <w:instrText xml:space="preserve"> TOC \o "1-5" \h \z </w:instrText>
      </w:r>
      <w:r w:rsidRPr="00795AD7">
        <w:rPr>
          <w:rFonts w:ascii="Times New Roman" w:eastAsia="Times New Roman" w:hAnsi="Times New Roman" w:cs="Times New Roman"/>
          <w:b/>
          <w:bCs/>
          <w:color w:val="000000"/>
          <w:kern w:val="0"/>
          <w:sz w:val="28"/>
          <w:szCs w:val="28"/>
          <w:lang w:eastAsia="ru-RU" w:bidi="ru-RU"/>
        </w:rPr>
        <w:fldChar w:fldCharType="separate"/>
      </w:r>
      <w:r w:rsidRPr="00795AD7">
        <w:rPr>
          <w:rFonts w:ascii="Times New Roman" w:eastAsia="Times New Roman" w:hAnsi="Times New Roman" w:cs="Times New Roman"/>
          <w:b/>
          <w:bCs/>
          <w:color w:val="000000"/>
          <w:kern w:val="0"/>
          <w:sz w:val="28"/>
          <w:szCs w:val="28"/>
          <w:lang w:eastAsia="ru-RU" w:bidi="ru-RU"/>
        </w:rPr>
        <w:t>Характеристика методов исследования</w:t>
      </w:r>
      <w:r w:rsidRPr="00795AD7">
        <w:rPr>
          <w:rFonts w:ascii="Times New Roman" w:eastAsia="Times New Roman" w:hAnsi="Times New Roman" w:cs="Times New Roman"/>
          <w:b/>
          <w:bCs/>
          <w:color w:val="000000"/>
          <w:kern w:val="0"/>
          <w:sz w:val="28"/>
          <w:szCs w:val="28"/>
          <w:lang w:eastAsia="ru-RU" w:bidi="ru-RU"/>
        </w:rPr>
        <w:tab/>
        <w:t>51</w:t>
      </w:r>
    </w:p>
    <w:p w:rsidR="00795AD7" w:rsidRPr="00795AD7" w:rsidRDefault="00795AD7" w:rsidP="00795AD7">
      <w:pPr>
        <w:numPr>
          <w:ilvl w:val="0"/>
          <w:numId w:val="10"/>
        </w:numPr>
        <w:tabs>
          <w:tab w:val="clear" w:pos="709"/>
          <w:tab w:val="right" w:leader="dot" w:pos="9197"/>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Методика определения ЭЗВД и ЭНЗВД плечевой артерии</w:t>
      </w:r>
      <w:r w:rsidRPr="00795AD7">
        <w:rPr>
          <w:rFonts w:ascii="Times New Roman" w:eastAsia="Times New Roman" w:hAnsi="Times New Roman" w:cs="Times New Roman"/>
          <w:b/>
          <w:bCs/>
          <w:color w:val="000000"/>
          <w:kern w:val="0"/>
          <w:sz w:val="28"/>
          <w:szCs w:val="28"/>
          <w:lang w:eastAsia="ru-RU" w:bidi="ru-RU"/>
        </w:rPr>
        <w:tab/>
        <w:t>55</w:t>
      </w:r>
    </w:p>
    <w:p w:rsidR="00795AD7" w:rsidRPr="00795AD7" w:rsidRDefault="00795AD7" w:rsidP="00795AD7">
      <w:pPr>
        <w:numPr>
          <w:ilvl w:val="0"/>
          <w:numId w:val="10"/>
        </w:numPr>
        <w:tabs>
          <w:tab w:val="clear" w:pos="709"/>
          <w:tab w:val="right" w:leader="dot" w:pos="9197"/>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Дополнительные методы исследования</w:t>
      </w:r>
      <w:r w:rsidRPr="00795AD7">
        <w:rPr>
          <w:rFonts w:ascii="Times New Roman" w:eastAsia="Times New Roman" w:hAnsi="Times New Roman" w:cs="Times New Roman"/>
          <w:b/>
          <w:bCs/>
          <w:color w:val="000000"/>
          <w:kern w:val="0"/>
          <w:sz w:val="28"/>
          <w:szCs w:val="28"/>
          <w:lang w:eastAsia="ru-RU" w:bidi="ru-RU"/>
        </w:rPr>
        <w:tab/>
        <w:t>57</w:t>
      </w:r>
    </w:p>
    <w:p w:rsidR="00795AD7" w:rsidRPr="00795AD7" w:rsidRDefault="00795AD7" w:rsidP="00795AD7">
      <w:pPr>
        <w:numPr>
          <w:ilvl w:val="0"/>
          <w:numId w:val="10"/>
        </w:numPr>
        <w:tabs>
          <w:tab w:val="clear" w:pos="709"/>
          <w:tab w:val="right" w:leader="dot" w:pos="9197"/>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Методы статистической обработки результатов</w:t>
      </w:r>
      <w:r w:rsidRPr="00795AD7">
        <w:rPr>
          <w:rFonts w:ascii="Times New Roman" w:eastAsia="Times New Roman" w:hAnsi="Times New Roman" w:cs="Times New Roman"/>
          <w:b/>
          <w:bCs/>
          <w:color w:val="000000"/>
          <w:kern w:val="0"/>
          <w:sz w:val="28"/>
          <w:szCs w:val="28"/>
          <w:lang w:eastAsia="ru-RU" w:bidi="ru-RU"/>
        </w:rPr>
        <w:tab/>
        <w:t>58</w:t>
      </w:r>
    </w:p>
    <w:p w:rsidR="00795AD7" w:rsidRPr="00795AD7" w:rsidRDefault="00795AD7" w:rsidP="00795AD7">
      <w:pPr>
        <w:tabs>
          <w:tab w:val="clear" w:pos="709"/>
          <w:tab w:val="right" w:leader="dot" w:pos="9197"/>
        </w:tabs>
        <w:suppressAutoHyphens w:val="0"/>
        <w:spacing w:after="0" w:line="475" w:lineRule="exact"/>
        <w:ind w:left="20" w:right="60"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Глава 3. СОСТОЯНИЕ ФУНКЦИИ ЭНДОТЕЛИЯ У БОЛЬНЫХ СД ТИПА 2 В ЗАВИСИМОСТИ ОТ РАЗЛИЧНЫХ ФАКТОРОВ РИСКА СОСУДИСТЫХ ОСЛОЖНЕНИЙ</w:t>
      </w:r>
      <w:r w:rsidRPr="00795AD7">
        <w:rPr>
          <w:rFonts w:ascii="Times New Roman" w:eastAsia="Times New Roman" w:hAnsi="Times New Roman" w:cs="Times New Roman"/>
          <w:b/>
          <w:bCs/>
          <w:color w:val="000000"/>
          <w:kern w:val="0"/>
          <w:sz w:val="28"/>
          <w:szCs w:val="28"/>
          <w:lang w:eastAsia="ru-RU" w:bidi="ru-RU"/>
        </w:rPr>
        <w:tab/>
        <w:t>60</w:t>
      </w:r>
    </w:p>
    <w:p w:rsidR="00795AD7" w:rsidRPr="00795AD7" w:rsidRDefault="00795AD7" w:rsidP="00795AD7">
      <w:pPr>
        <w:numPr>
          <w:ilvl w:val="1"/>
          <w:numId w:val="10"/>
        </w:numPr>
        <w:tabs>
          <w:tab w:val="clear" w:pos="709"/>
          <w:tab w:val="right" w:leader="dot" w:pos="9197"/>
        </w:tabs>
        <w:suppressAutoHyphens w:val="0"/>
        <w:spacing w:after="0" w:line="475" w:lineRule="exact"/>
        <w:ind w:right="6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Показатели функции эндотелия у обследованных лиц с СД типа 2 и группы сравнения</w:t>
      </w:r>
      <w:r w:rsidRPr="00795AD7">
        <w:rPr>
          <w:rFonts w:ascii="Times New Roman" w:eastAsia="Times New Roman" w:hAnsi="Times New Roman" w:cs="Times New Roman"/>
          <w:b/>
          <w:bCs/>
          <w:color w:val="000000"/>
          <w:kern w:val="0"/>
          <w:sz w:val="28"/>
          <w:szCs w:val="28"/>
          <w:lang w:eastAsia="ru-RU" w:bidi="ru-RU"/>
        </w:rPr>
        <w:tab/>
        <w:t>60</w:t>
      </w:r>
    </w:p>
    <w:p w:rsidR="00795AD7" w:rsidRPr="00795AD7" w:rsidRDefault="00795AD7" w:rsidP="00795AD7">
      <w:pPr>
        <w:numPr>
          <w:ilvl w:val="1"/>
          <w:numId w:val="10"/>
        </w:numPr>
        <w:tabs>
          <w:tab w:val="clear" w:pos="709"/>
          <w:tab w:val="right" w:leader="dot" w:pos="9197"/>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ДЭ у больных СД типа 2 в зависимости от пола</w:t>
      </w:r>
      <w:r w:rsidRPr="00795AD7">
        <w:rPr>
          <w:rFonts w:ascii="Times New Roman" w:eastAsia="Times New Roman" w:hAnsi="Times New Roman" w:cs="Times New Roman"/>
          <w:b/>
          <w:bCs/>
          <w:color w:val="000000"/>
          <w:kern w:val="0"/>
          <w:sz w:val="28"/>
          <w:szCs w:val="28"/>
          <w:lang w:eastAsia="ru-RU" w:bidi="ru-RU"/>
        </w:rPr>
        <w:tab/>
        <w:t>62</w:t>
      </w:r>
    </w:p>
    <w:p w:rsidR="00795AD7" w:rsidRPr="00795AD7" w:rsidRDefault="00795AD7" w:rsidP="00795AD7">
      <w:pPr>
        <w:numPr>
          <w:ilvl w:val="1"/>
          <w:numId w:val="10"/>
        </w:numPr>
        <w:tabs>
          <w:tab w:val="clear" w:pos="709"/>
          <w:tab w:val="right" w:leader="dot" w:pos="9197"/>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ДЭ у больных СД типа 2 в зависимости от возраста</w:t>
      </w:r>
      <w:r w:rsidRPr="00795AD7">
        <w:rPr>
          <w:rFonts w:ascii="Times New Roman" w:eastAsia="Times New Roman" w:hAnsi="Times New Roman" w:cs="Times New Roman"/>
          <w:b/>
          <w:bCs/>
          <w:color w:val="000000"/>
          <w:kern w:val="0"/>
          <w:sz w:val="28"/>
          <w:szCs w:val="28"/>
          <w:lang w:eastAsia="ru-RU" w:bidi="ru-RU"/>
        </w:rPr>
        <w:tab/>
        <w:t>67</w:t>
      </w:r>
    </w:p>
    <w:p w:rsidR="00795AD7" w:rsidRPr="00795AD7" w:rsidRDefault="00795AD7" w:rsidP="00795AD7">
      <w:pPr>
        <w:numPr>
          <w:ilvl w:val="1"/>
          <w:numId w:val="10"/>
        </w:numPr>
        <w:tabs>
          <w:tab w:val="clear" w:pos="709"/>
          <w:tab w:val="right" w:leader="dot" w:pos="9197"/>
        </w:tabs>
        <w:suppressAutoHyphens w:val="0"/>
        <w:spacing w:after="60" w:line="475" w:lineRule="exact"/>
        <w:ind w:right="6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ДЭ у больных СД типа 2 в зависимости от давности обнаружения диабета</w:t>
      </w:r>
      <w:r w:rsidRPr="00795AD7">
        <w:rPr>
          <w:rFonts w:ascii="Times New Roman" w:eastAsia="Times New Roman" w:hAnsi="Times New Roman" w:cs="Times New Roman"/>
          <w:b/>
          <w:bCs/>
          <w:color w:val="000000"/>
          <w:kern w:val="0"/>
          <w:sz w:val="28"/>
          <w:szCs w:val="28"/>
          <w:lang w:eastAsia="ru-RU" w:bidi="ru-RU"/>
        </w:rPr>
        <w:tab/>
        <w:t>73</w:t>
      </w:r>
    </w:p>
    <w:p w:rsidR="00795AD7" w:rsidRPr="00795AD7" w:rsidRDefault="00795AD7" w:rsidP="00795AD7">
      <w:pPr>
        <w:numPr>
          <w:ilvl w:val="1"/>
          <w:numId w:val="10"/>
        </w:numPr>
        <w:tabs>
          <w:tab w:val="clear" w:pos="709"/>
          <w:tab w:val="right" w:leader="dot" w:pos="9197"/>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ДЭ у больных СД типа 2 в зависимости от фактора курения</w:t>
      </w:r>
      <w:r w:rsidRPr="00795AD7">
        <w:rPr>
          <w:rFonts w:ascii="Times New Roman" w:eastAsia="Times New Roman" w:hAnsi="Times New Roman" w:cs="Times New Roman"/>
          <w:b/>
          <w:bCs/>
          <w:color w:val="000000"/>
          <w:kern w:val="0"/>
          <w:sz w:val="28"/>
          <w:szCs w:val="28"/>
          <w:lang w:eastAsia="ru-RU" w:bidi="ru-RU"/>
        </w:rPr>
        <w:tab/>
        <w:t>79</w:t>
      </w:r>
    </w:p>
    <w:p w:rsidR="00795AD7" w:rsidRPr="00795AD7" w:rsidRDefault="00795AD7" w:rsidP="00795AD7">
      <w:pPr>
        <w:numPr>
          <w:ilvl w:val="1"/>
          <w:numId w:val="10"/>
        </w:numPr>
        <w:tabs>
          <w:tab w:val="clear" w:pos="709"/>
          <w:tab w:val="center" w:pos="7561"/>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ДЭ у больных СД типа 2 в зависимости от</w:t>
      </w:r>
      <w:r w:rsidRPr="00795AD7">
        <w:rPr>
          <w:rFonts w:ascii="Times New Roman" w:eastAsia="Times New Roman" w:hAnsi="Times New Roman" w:cs="Times New Roman"/>
          <w:b/>
          <w:bCs/>
          <w:color w:val="000000"/>
          <w:kern w:val="0"/>
          <w:sz w:val="28"/>
          <w:szCs w:val="28"/>
          <w:lang w:eastAsia="ru-RU" w:bidi="ru-RU"/>
        </w:rPr>
        <w:tab/>
        <w:t>уровня гликемии</w:t>
      </w:r>
    </w:p>
    <w:p w:rsidR="00795AD7" w:rsidRPr="00795AD7" w:rsidRDefault="00795AD7" w:rsidP="00795AD7">
      <w:pPr>
        <w:tabs>
          <w:tab w:val="clear" w:pos="709"/>
          <w:tab w:val="right" w:leader="dot" w:pos="9177"/>
        </w:tabs>
        <w:suppressAutoHyphens w:val="0"/>
        <w:spacing w:after="0" w:line="475" w:lineRule="exact"/>
        <w:ind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натощак</w:t>
      </w:r>
      <w:r w:rsidRPr="00795AD7">
        <w:rPr>
          <w:rFonts w:ascii="Times New Roman" w:eastAsia="Times New Roman" w:hAnsi="Times New Roman" w:cs="Times New Roman"/>
          <w:b/>
          <w:bCs/>
          <w:color w:val="000000"/>
          <w:kern w:val="0"/>
          <w:sz w:val="28"/>
          <w:szCs w:val="28"/>
          <w:lang w:eastAsia="ru-RU" w:bidi="ru-RU"/>
        </w:rPr>
        <w:tab/>
        <w:t>84</w:t>
      </w:r>
    </w:p>
    <w:p w:rsidR="00795AD7" w:rsidRPr="00795AD7" w:rsidRDefault="00795AD7" w:rsidP="00795AD7">
      <w:pPr>
        <w:numPr>
          <w:ilvl w:val="1"/>
          <w:numId w:val="10"/>
        </w:numPr>
        <w:tabs>
          <w:tab w:val="clear" w:pos="709"/>
          <w:tab w:val="right" w:leader="dot" w:pos="9197"/>
        </w:tabs>
        <w:suppressAutoHyphens w:val="0"/>
        <w:spacing w:after="0" w:line="475" w:lineRule="exact"/>
        <w:ind w:right="6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ДЭ у больных СД типа 2 в зависимости от уровня ОХ в сыворотке крови</w:t>
      </w:r>
      <w:r w:rsidRPr="00795AD7">
        <w:rPr>
          <w:rFonts w:ascii="Times New Roman" w:eastAsia="Times New Roman" w:hAnsi="Times New Roman" w:cs="Times New Roman"/>
          <w:b/>
          <w:bCs/>
          <w:color w:val="000000"/>
          <w:kern w:val="0"/>
          <w:sz w:val="28"/>
          <w:szCs w:val="28"/>
          <w:lang w:eastAsia="ru-RU" w:bidi="ru-RU"/>
        </w:rPr>
        <w:tab/>
        <w:t>90</w:t>
      </w:r>
    </w:p>
    <w:p w:rsidR="00795AD7" w:rsidRPr="00795AD7" w:rsidRDefault="00795AD7" w:rsidP="00795AD7">
      <w:pPr>
        <w:numPr>
          <w:ilvl w:val="1"/>
          <w:numId w:val="10"/>
        </w:numPr>
        <w:tabs>
          <w:tab w:val="clear" w:pos="709"/>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ДЭ у больных СД типа 2 в зависимости от уровня альбумина в моче.97</w:t>
      </w:r>
    </w:p>
    <w:p w:rsidR="00795AD7" w:rsidRPr="00795AD7" w:rsidRDefault="00795AD7" w:rsidP="00795AD7">
      <w:pPr>
        <w:numPr>
          <w:ilvl w:val="1"/>
          <w:numId w:val="10"/>
        </w:numPr>
        <w:tabs>
          <w:tab w:val="clear" w:pos="709"/>
          <w:tab w:val="right" w:leader="dot" w:pos="9197"/>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ДЭ у больных СД 2 в зависимости от уровня САД</w:t>
      </w:r>
      <w:r w:rsidRPr="00795AD7">
        <w:rPr>
          <w:rFonts w:ascii="Times New Roman" w:eastAsia="Times New Roman" w:hAnsi="Times New Roman" w:cs="Times New Roman"/>
          <w:b/>
          <w:bCs/>
          <w:color w:val="000000"/>
          <w:kern w:val="0"/>
          <w:sz w:val="28"/>
          <w:szCs w:val="28"/>
          <w:lang w:eastAsia="ru-RU" w:bidi="ru-RU"/>
        </w:rPr>
        <w:tab/>
        <w:t>103</w:t>
      </w:r>
    </w:p>
    <w:p w:rsidR="00795AD7" w:rsidRPr="00795AD7" w:rsidRDefault="00795AD7" w:rsidP="00795AD7">
      <w:pPr>
        <w:numPr>
          <w:ilvl w:val="1"/>
          <w:numId w:val="10"/>
        </w:numPr>
        <w:tabs>
          <w:tab w:val="clear" w:pos="709"/>
          <w:tab w:val="right" w:leader="dot" w:pos="9197"/>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ДЭ у больных СД типа 2 в зависимости от уровня ДАД</w:t>
      </w:r>
      <w:r w:rsidRPr="00795AD7">
        <w:rPr>
          <w:rFonts w:ascii="Times New Roman" w:eastAsia="Times New Roman" w:hAnsi="Times New Roman" w:cs="Times New Roman"/>
          <w:b/>
          <w:bCs/>
          <w:color w:val="000000"/>
          <w:kern w:val="0"/>
          <w:sz w:val="28"/>
          <w:szCs w:val="28"/>
          <w:lang w:eastAsia="ru-RU" w:bidi="ru-RU"/>
        </w:rPr>
        <w:tab/>
        <w:t>109</w:t>
      </w:r>
    </w:p>
    <w:p w:rsidR="00795AD7" w:rsidRPr="00795AD7" w:rsidRDefault="00795AD7" w:rsidP="00795AD7">
      <w:pPr>
        <w:numPr>
          <w:ilvl w:val="1"/>
          <w:numId w:val="10"/>
        </w:numPr>
        <w:tabs>
          <w:tab w:val="clear" w:pos="709"/>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Зависимость показателей отражающих функцию эндотелия от</w:t>
      </w:r>
    </w:p>
    <w:p w:rsidR="00795AD7" w:rsidRPr="00795AD7" w:rsidRDefault="00795AD7" w:rsidP="00795AD7">
      <w:pPr>
        <w:tabs>
          <w:tab w:val="clear" w:pos="709"/>
          <w:tab w:val="right" w:leader="dot" w:pos="9197"/>
        </w:tabs>
        <w:suppressAutoHyphens w:val="0"/>
        <w:spacing w:after="0" w:line="475" w:lineRule="exact"/>
        <w:ind w:left="20"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факторов риска сосудистых осложнений у больных СД типа 2</w:t>
      </w:r>
      <w:r w:rsidRPr="00795AD7">
        <w:rPr>
          <w:rFonts w:ascii="Times New Roman" w:eastAsia="Times New Roman" w:hAnsi="Times New Roman" w:cs="Times New Roman"/>
          <w:b/>
          <w:bCs/>
          <w:color w:val="000000"/>
          <w:kern w:val="0"/>
          <w:sz w:val="28"/>
          <w:szCs w:val="28"/>
          <w:lang w:eastAsia="ru-RU" w:bidi="ru-RU"/>
        </w:rPr>
        <w:tab/>
        <w:t>116</w:t>
      </w:r>
    </w:p>
    <w:p w:rsidR="00795AD7" w:rsidRPr="00795AD7" w:rsidRDefault="00795AD7" w:rsidP="00795AD7">
      <w:pPr>
        <w:tabs>
          <w:tab w:val="clear" w:pos="709"/>
          <w:tab w:val="right" w:leader="dot" w:pos="9197"/>
        </w:tabs>
        <w:suppressAutoHyphens w:val="0"/>
        <w:spacing w:after="0" w:line="475" w:lineRule="exact"/>
        <w:ind w:left="20"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Глава 4. ОБСУЖДЕНИЕ ПОЛУЧЕННЫХ РЕЗУЛЬТАТОВ</w:t>
      </w:r>
      <w:r w:rsidRPr="00795AD7">
        <w:rPr>
          <w:rFonts w:ascii="Times New Roman" w:eastAsia="Times New Roman" w:hAnsi="Times New Roman" w:cs="Times New Roman"/>
          <w:b/>
          <w:bCs/>
          <w:color w:val="000000"/>
          <w:kern w:val="0"/>
          <w:sz w:val="28"/>
          <w:szCs w:val="28"/>
          <w:lang w:eastAsia="ru-RU" w:bidi="ru-RU"/>
        </w:rPr>
        <w:tab/>
        <w:t>124</w:t>
      </w:r>
    </w:p>
    <w:p w:rsidR="00795AD7" w:rsidRPr="00795AD7" w:rsidRDefault="00795AD7" w:rsidP="00795AD7">
      <w:pPr>
        <w:tabs>
          <w:tab w:val="clear" w:pos="709"/>
          <w:tab w:val="right" w:leader="dot" w:pos="9177"/>
        </w:tabs>
        <w:suppressAutoHyphens w:val="0"/>
        <w:spacing w:after="0" w:line="475" w:lineRule="exact"/>
        <w:ind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ВЫВОДЫ</w:t>
      </w:r>
      <w:r w:rsidRPr="00795AD7">
        <w:rPr>
          <w:rFonts w:ascii="Times New Roman" w:eastAsia="Times New Roman" w:hAnsi="Times New Roman" w:cs="Times New Roman"/>
          <w:b/>
          <w:bCs/>
          <w:color w:val="000000"/>
          <w:kern w:val="0"/>
          <w:sz w:val="28"/>
          <w:szCs w:val="28"/>
          <w:lang w:eastAsia="ru-RU" w:bidi="ru-RU"/>
        </w:rPr>
        <w:tab/>
        <w:t>139</w:t>
      </w:r>
    </w:p>
    <w:p w:rsidR="00795AD7" w:rsidRPr="00795AD7" w:rsidRDefault="00795AD7" w:rsidP="00795AD7">
      <w:pPr>
        <w:tabs>
          <w:tab w:val="clear" w:pos="709"/>
          <w:tab w:val="right" w:leader="dot" w:pos="9197"/>
        </w:tabs>
        <w:suppressAutoHyphens w:val="0"/>
        <w:spacing w:after="0" w:line="475" w:lineRule="exact"/>
        <w:ind w:left="20"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ПРАКТИЧЕСКИЕ РЕКОМЕНДАЦИИ</w:t>
      </w:r>
      <w:r w:rsidRPr="00795AD7">
        <w:rPr>
          <w:rFonts w:ascii="Times New Roman" w:eastAsia="Times New Roman" w:hAnsi="Times New Roman" w:cs="Times New Roman"/>
          <w:b/>
          <w:bCs/>
          <w:color w:val="000000"/>
          <w:kern w:val="0"/>
          <w:sz w:val="28"/>
          <w:szCs w:val="28"/>
          <w:lang w:eastAsia="ru-RU" w:bidi="ru-RU"/>
        </w:rPr>
        <w:tab/>
        <w:t>140</w:t>
      </w:r>
    </w:p>
    <w:p w:rsidR="00795AD7" w:rsidRPr="00795AD7" w:rsidRDefault="00795AD7" w:rsidP="00795AD7">
      <w:pPr>
        <w:tabs>
          <w:tab w:val="clear" w:pos="709"/>
          <w:tab w:val="right" w:leader="dot" w:pos="9197"/>
        </w:tabs>
        <w:suppressAutoHyphens w:val="0"/>
        <w:spacing w:after="0" w:line="475" w:lineRule="exact"/>
        <w:ind w:left="20"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СПИСОК ЛИТЕРАТУРЫ</w:t>
      </w:r>
      <w:r w:rsidRPr="00795AD7">
        <w:rPr>
          <w:rFonts w:ascii="Times New Roman" w:eastAsia="Times New Roman" w:hAnsi="Times New Roman" w:cs="Times New Roman"/>
          <w:b/>
          <w:bCs/>
          <w:color w:val="000000"/>
          <w:kern w:val="0"/>
          <w:sz w:val="28"/>
          <w:szCs w:val="28"/>
          <w:lang w:eastAsia="ru-RU" w:bidi="ru-RU"/>
        </w:rPr>
        <w:tab/>
        <w:t>141</w:t>
      </w:r>
      <w:r w:rsidRPr="00795AD7">
        <w:rPr>
          <w:rFonts w:ascii="Times New Roman" w:eastAsia="Times New Roman" w:hAnsi="Times New Roman" w:cs="Times New Roman"/>
          <w:b/>
          <w:bCs/>
          <w:color w:val="000000"/>
          <w:kern w:val="0"/>
          <w:sz w:val="28"/>
          <w:szCs w:val="28"/>
          <w:lang w:eastAsia="ru-RU" w:bidi="ru-RU"/>
        </w:rPr>
        <w:fldChar w:fldCharType="end"/>
      </w:r>
    </w:p>
    <w:p w:rsidR="00795AD7" w:rsidRPr="00795AD7" w:rsidRDefault="00795AD7" w:rsidP="00795AD7">
      <w:pPr>
        <w:tabs>
          <w:tab w:val="clear" w:pos="709"/>
        </w:tabs>
        <w:suppressAutoHyphens w:val="0"/>
        <w:spacing w:after="486" w:line="280" w:lineRule="exact"/>
        <w:ind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ВВЕДЕНИЕ</w:t>
      </w:r>
    </w:p>
    <w:p w:rsidR="00795AD7" w:rsidRPr="00795AD7" w:rsidRDefault="00795AD7" w:rsidP="00795AD7">
      <w:pPr>
        <w:tabs>
          <w:tab w:val="clear" w:pos="709"/>
        </w:tabs>
        <w:suppressAutoHyphens w:val="0"/>
        <w:spacing w:after="0" w:line="475" w:lineRule="exact"/>
        <w:ind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Актуальность проблемы</w:t>
      </w:r>
    </w:p>
    <w:p w:rsidR="00795AD7" w:rsidRPr="00795AD7" w:rsidRDefault="00795AD7" w:rsidP="00795AD7">
      <w:pPr>
        <w:tabs>
          <w:tab w:val="clear" w:pos="709"/>
        </w:tabs>
        <w:suppressAutoHyphens w:val="0"/>
        <w:spacing w:after="0" w:line="475" w:lineRule="exact"/>
        <w:ind w:left="20" w:right="20" w:firstLine="70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Сахарный диабет (СД) типа 2 является одним из наиболее распространенных и социально значимых заболеваний. Число больных СД в мире превышает 150 млн. человек и ежегодно увеличивается на 5-7% [Дедов И.И. с соавт., 2001а; </w:t>
      </w:r>
      <w:r w:rsidRPr="00795AD7">
        <w:rPr>
          <w:rFonts w:ascii="Times New Roman" w:eastAsia="Times New Roman" w:hAnsi="Times New Roman" w:cs="Times New Roman"/>
          <w:b/>
          <w:bCs/>
          <w:color w:val="000000"/>
          <w:kern w:val="0"/>
          <w:sz w:val="28"/>
          <w:szCs w:val="28"/>
          <w:lang w:val="en-US" w:eastAsia="en-US" w:bidi="en-US"/>
        </w:rPr>
        <w:t>Bloomgarden</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Z</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N</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 xml:space="preserve">1996; </w:t>
      </w:r>
      <w:r w:rsidRPr="00795AD7">
        <w:rPr>
          <w:rFonts w:ascii="Times New Roman" w:eastAsia="Times New Roman" w:hAnsi="Times New Roman" w:cs="Times New Roman"/>
          <w:b/>
          <w:bCs/>
          <w:color w:val="000000"/>
          <w:kern w:val="0"/>
          <w:sz w:val="28"/>
          <w:szCs w:val="28"/>
          <w:lang w:val="en-US" w:eastAsia="en-US" w:bidi="en-US"/>
        </w:rPr>
        <w:t>Kopelman</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P</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G</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Albon</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L</w:t>
      </w:r>
      <w:r w:rsidRPr="00795AD7">
        <w:rPr>
          <w:rFonts w:ascii="Times New Roman" w:eastAsia="Times New Roman" w:hAnsi="Times New Roman" w:cs="Times New Roman"/>
          <w:b/>
          <w:bCs/>
          <w:color w:val="000000"/>
          <w:kern w:val="0"/>
          <w:sz w:val="28"/>
          <w:szCs w:val="28"/>
          <w:lang w:eastAsia="en-US" w:bidi="en-US"/>
        </w:rPr>
        <w:t xml:space="preserve">., 1997]. </w:t>
      </w:r>
      <w:r w:rsidRPr="00795AD7">
        <w:rPr>
          <w:rFonts w:ascii="Times New Roman" w:eastAsia="Times New Roman" w:hAnsi="Times New Roman" w:cs="Times New Roman"/>
          <w:b/>
          <w:bCs/>
          <w:color w:val="000000"/>
          <w:kern w:val="0"/>
          <w:sz w:val="28"/>
          <w:szCs w:val="28"/>
          <w:lang w:eastAsia="ru-RU" w:bidi="ru-RU"/>
        </w:rPr>
        <w:t xml:space="preserve">При этом, 80% от общего числа больных приходится на диабет типа 2. Высокая смертность и частая инвалидизация больных СД, обусловленная развитием поздних микро- и макрососудистых осложнений, определяет приоритетность изучения данного заболевания в национальных системах здравоохранения всех стран мира [Балаболкин М.И., 2000; </w:t>
      </w:r>
      <w:r w:rsidRPr="00795AD7">
        <w:rPr>
          <w:rFonts w:ascii="Times New Roman" w:eastAsia="Times New Roman" w:hAnsi="Times New Roman" w:cs="Times New Roman"/>
          <w:b/>
          <w:bCs/>
          <w:color w:val="000000"/>
          <w:kern w:val="0"/>
          <w:sz w:val="28"/>
          <w:szCs w:val="28"/>
          <w:lang w:val="en-US" w:eastAsia="en-US" w:bidi="en-US"/>
        </w:rPr>
        <w:t>Cefalu</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W</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T</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 xml:space="preserve">1996; </w:t>
      </w:r>
      <w:r w:rsidRPr="00795AD7">
        <w:rPr>
          <w:rFonts w:ascii="Times New Roman" w:eastAsia="Times New Roman" w:hAnsi="Times New Roman" w:cs="Times New Roman"/>
          <w:b/>
          <w:bCs/>
          <w:color w:val="000000"/>
          <w:kern w:val="0"/>
          <w:sz w:val="28"/>
          <w:szCs w:val="28"/>
          <w:lang w:val="en-US" w:eastAsia="en-US" w:bidi="en-US"/>
        </w:rPr>
        <w:t>Watkins</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P</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J</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et</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al</w:t>
      </w:r>
      <w:r w:rsidRPr="00795AD7">
        <w:rPr>
          <w:rFonts w:ascii="Times New Roman" w:eastAsia="Times New Roman" w:hAnsi="Times New Roman" w:cs="Times New Roman"/>
          <w:b/>
          <w:bCs/>
          <w:color w:val="000000"/>
          <w:kern w:val="0"/>
          <w:sz w:val="28"/>
          <w:szCs w:val="28"/>
          <w:lang w:eastAsia="en-US" w:bidi="en-US"/>
        </w:rPr>
        <w:t>., 1996].</w:t>
      </w:r>
    </w:p>
    <w:p w:rsidR="00795AD7" w:rsidRPr="00795AD7" w:rsidRDefault="00795AD7" w:rsidP="00795AD7">
      <w:pPr>
        <w:tabs>
          <w:tab w:val="clear" w:pos="709"/>
          <w:tab w:val="left" w:pos="6538"/>
        </w:tabs>
        <w:suppressAutoHyphens w:val="0"/>
        <w:spacing w:after="0" w:line="475" w:lineRule="exact"/>
        <w:ind w:left="20" w:right="20" w:firstLine="70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Вместе с тем, СД представляет собой классическую модель поражения микро- и макрососудистого русла, что проявляется в развитии типичных осложнений этого заболевания: диабетической ретинопатии у 80—90% больных, диабетической нефропатии (ДН) у 35—40 </w:t>
      </w:r>
      <w:r w:rsidRPr="00795AD7">
        <w:rPr>
          <w:rFonts w:ascii="Corbel" w:eastAsia="Corbel" w:hAnsi="Corbel" w:cs="Corbel"/>
          <w:i/>
          <w:iCs/>
          <w:color w:val="000000"/>
          <w:kern w:val="0"/>
          <w:sz w:val="28"/>
          <w:szCs w:val="28"/>
          <w:lang w:eastAsia="ru-RU" w:bidi="ru-RU"/>
        </w:rPr>
        <w:t>%</w:t>
      </w:r>
      <w:r w:rsidRPr="00795AD7">
        <w:rPr>
          <w:rFonts w:ascii="Times New Roman" w:eastAsia="Times New Roman" w:hAnsi="Times New Roman" w:cs="Times New Roman"/>
          <w:b/>
          <w:bCs/>
          <w:color w:val="000000"/>
          <w:kern w:val="0"/>
          <w:sz w:val="28"/>
          <w:szCs w:val="28"/>
          <w:lang w:eastAsia="ru-RU" w:bidi="ru-RU"/>
        </w:rPr>
        <w:t xml:space="preserve"> больных, атеросклероза магистральных сосудов у 70</w:t>
      </w:r>
      <w:r w:rsidRPr="00795AD7">
        <w:rPr>
          <w:rFonts w:ascii="Times New Roman" w:eastAsia="Times New Roman" w:hAnsi="Times New Roman" w:cs="Times New Roman"/>
          <w:b/>
          <w:bCs/>
          <w:color w:val="000000"/>
          <w:kern w:val="0"/>
          <w:sz w:val="28"/>
          <w:szCs w:val="28"/>
          <w:lang w:eastAsia="ru-RU" w:bidi="ru-RU"/>
        </w:rPr>
        <w:tab/>
      </w:r>
      <w:r w:rsidRPr="00795AD7">
        <w:rPr>
          <w:rFonts w:ascii="Corbel" w:eastAsia="Corbel" w:hAnsi="Corbel" w:cs="Corbel"/>
          <w:i/>
          <w:iCs/>
          <w:color w:val="000000"/>
          <w:kern w:val="0"/>
          <w:sz w:val="28"/>
          <w:szCs w:val="28"/>
          <w:lang w:eastAsia="ru-RU" w:bidi="ru-RU"/>
        </w:rPr>
        <w:t>%</w:t>
      </w:r>
      <w:r w:rsidRPr="00795AD7">
        <w:rPr>
          <w:rFonts w:ascii="Times New Roman" w:eastAsia="Times New Roman" w:hAnsi="Times New Roman" w:cs="Times New Roman"/>
          <w:b/>
          <w:bCs/>
          <w:color w:val="000000"/>
          <w:kern w:val="0"/>
          <w:sz w:val="28"/>
          <w:szCs w:val="28"/>
          <w:lang w:eastAsia="ru-RU" w:bidi="ru-RU"/>
        </w:rPr>
        <w:t xml:space="preserve"> больных. Столь</w:t>
      </w:r>
    </w:p>
    <w:p w:rsidR="00795AD7" w:rsidRPr="00795AD7" w:rsidRDefault="00795AD7" w:rsidP="00795AD7">
      <w:pPr>
        <w:tabs>
          <w:tab w:val="clear" w:pos="709"/>
        </w:tabs>
        <w:suppressAutoHyphens w:val="0"/>
        <w:spacing w:after="0" w:line="475" w:lineRule="exact"/>
        <w:ind w:left="20" w:right="20"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масштабного поражения всего сосудистого русла не происходит ни при одном другом заболевании (иммунной или иной природы) [Дедов И.И. с соавт., 20016].</w:t>
      </w:r>
    </w:p>
    <w:p w:rsidR="00795AD7" w:rsidRPr="00795AD7" w:rsidRDefault="00795AD7" w:rsidP="00795AD7">
      <w:pPr>
        <w:tabs>
          <w:tab w:val="clear" w:pos="709"/>
        </w:tabs>
        <w:suppressAutoHyphens w:val="0"/>
        <w:spacing w:after="0" w:line="475" w:lineRule="exact"/>
        <w:ind w:left="20" w:right="20" w:firstLine="70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В последние годы большой интерес представляет концепция о нарушении функционального состояния эндотелия у больных СД типа 2, как фактора, способствующего атеросклеротическому повреждению сосудов и развитию сосудистых осложнений.</w:t>
      </w:r>
    </w:p>
    <w:p w:rsidR="00795AD7" w:rsidRPr="00795AD7" w:rsidRDefault="00795AD7" w:rsidP="00795AD7">
      <w:pPr>
        <w:tabs>
          <w:tab w:val="clear" w:pos="709"/>
        </w:tabs>
        <w:suppressAutoHyphens w:val="0"/>
        <w:spacing w:after="0" w:line="480" w:lineRule="exact"/>
        <w:ind w:left="20" w:right="20" w:firstLine="70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Дисфункция эндотелия (ДЭ) характеризуется снижением синтеза вазодилататоров, достоверным увеличением уровня вазоконстрикторов и прокоагулянтов </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Cohen</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R</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 xml:space="preserve">1993., </w:t>
      </w:r>
      <w:r w:rsidRPr="00795AD7">
        <w:rPr>
          <w:rFonts w:ascii="Times New Roman" w:eastAsia="Times New Roman" w:hAnsi="Times New Roman" w:cs="Times New Roman"/>
          <w:b/>
          <w:bCs/>
          <w:color w:val="000000"/>
          <w:kern w:val="0"/>
          <w:sz w:val="28"/>
          <w:szCs w:val="28"/>
          <w:lang w:val="en-US" w:eastAsia="en-US" w:bidi="en-US"/>
        </w:rPr>
        <w:t>Poston</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L</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Taylor</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P</w:t>
      </w:r>
      <w:r w:rsidRPr="00795AD7">
        <w:rPr>
          <w:rFonts w:ascii="Times New Roman" w:eastAsia="Times New Roman" w:hAnsi="Times New Roman" w:cs="Times New Roman"/>
          <w:b/>
          <w:bCs/>
          <w:color w:val="000000"/>
          <w:kern w:val="0"/>
          <w:sz w:val="28"/>
          <w:szCs w:val="28"/>
          <w:lang w:eastAsia="en-US" w:bidi="en-US"/>
        </w:rPr>
        <w:t xml:space="preserve">., 1995], </w:t>
      </w:r>
      <w:r w:rsidRPr="00795AD7">
        <w:rPr>
          <w:rFonts w:ascii="Times New Roman" w:eastAsia="Times New Roman" w:hAnsi="Times New Roman" w:cs="Times New Roman"/>
          <w:b/>
          <w:bCs/>
          <w:color w:val="000000"/>
          <w:kern w:val="0"/>
          <w:sz w:val="28"/>
          <w:szCs w:val="28"/>
          <w:lang w:eastAsia="ru-RU" w:bidi="ru-RU"/>
        </w:rPr>
        <w:t>что приводит к снижению эндотелийзависимой вазодилатации и повышению адгезивности</w:t>
      </w:r>
    </w:p>
    <w:p w:rsidR="00795AD7" w:rsidRPr="00795AD7" w:rsidRDefault="00795AD7" w:rsidP="00795AD7">
      <w:pPr>
        <w:tabs>
          <w:tab w:val="clear" w:pos="709"/>
          <w:tab w:val="left" w:pos="937"/>
        </w:tabs>
        <w:suppressAutoHyphens w:val="0"/>
        <w:spacing w:after="0" w:line="475" w:lineRule="exact"/>
        <w:ind w:left="20" w:right="20"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эндотелиальных клеток [Петрищев Н.Н., Власов Т.Д., 2003; </w:t>
      </w:r>
      <w:r w:rsidRPr="00795AD7">
        <w:rPr>
          <w:rFonts w:ascii="Times New Roman" w:eastAsia="Times New Roman" w:hAnsi="Times New Roman" w:cs="Times New Roman"/>
          <w:b/>
          <w:bCs/>
          <w:color w:val="000000"/>
          <w:kern w:val="0"/>
          <w:sz w:val="28"/>
          <w:szCs w:val="28"/>
          <w:lang w:val="en-US" w:eastAsia="en-US" w:bidi="en-US"/>
        </w:rPr>
        <w:t>Vanhoutte</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P</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M</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eastAsia="en-US" w:bidi="en-US"/>
        </w:rPr>
        <w:tab/>
      </w:r>
      <w:r w:rsidRPr="00795AD7">
        <w:rPr>
          <w:rFonts w:ascii="Times New Roman" w:eastAsia="Times New Roman" w:hAnsi="Times New Roman" w:cs="Times New Roman"/>
          <w:b/>
          <w:bCs/>
          <w:color w:val="000000"/>
          <w:kern w:val="0"/>
          <w:sz w:val="28"/>
          <w:szCs w:val="28"/>
          <w:lang w:eastAsia="ru-RU" w:bidi="ru-RU"/>
        </w:rPr>
        <w:t>1997]. Считается, что эндотелиальная дисфункция при СД</w:t>
      </w:r>
    </w:p>
    <w:p w:rsidR="00795AD7" w:rsidRPr="00795AD7" w:rsidRDefault="00795AD7" w:rsidP="00795AD7">
      <w:pPr>
        <w:tabs>
          <w:tab w:val="clear" w:pos="709"/>
        </w:tabs>
        <w:suppressAutoHyphens w:val="0"/>
        <w:spacing w:after="0" w:line="475" w:lineRule="exact"/>
        <w:ind w:left="20" w:right="20" w:firstLine="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развивается достаточно рано [Шустов С.Б., Астамирова Х.С., 2003] и вовлечена в патогенез диабетической микро- и макроангиопатии </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Guerci</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 xml:space="preserve">В. </w:t>
      </w:r>
      <w:r w:rsidRPr="00795AD7">
        <w:rPr>
          <w:rFonts w:ascii="Times New Roman" w:eastAsia="Times New Roman" w:hAnsi="Times New Roman" w:cs="Times New Roman"/>
          <w:b/>
          <w:bCs/>
          <w:color w:val="000000"/>
          <w:kern w:val="0"/>
          <w:sz w:val="28"/>
          <w:szCs w:val="28"/>
          <w:lang w:val="en-US" w:eastAsia="en-US" w:bidi="en-US"/>
        </w:rPr>
        <w:t>et</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al</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2001]. Беспрепятственное проникновение глюкозы в эндотелиальные клетки нарушает сбалансированную выработку эндотелием вазоактивных факторов, факторов свертывающей системы крови, факторов роста и пролиферации. В результате, нарушается внутриорганная и тканевая гемодинамика, активируются процессы тромбообразования, пролиферации сосудов и гладкомышечных клеток [Дедов И.И. с соавт., 20016].</w:t>
      </w:r>
    </w:p>
    <w:p w:rsidR="00795AD7" w:rsidRPr="00795AD7" w:rsidRDefault="00795AD7" w:rsidP="00795AD7">
      <w:pPr>
        <w:tabs>
          <w:tab w:val="clear" w:pos="709"/>
        </w:tabs>
        <w:suppressAutoHyphens w:val="0"/>
        <w:spacing w:after="0" w:line="475" w:lineRule="exact"/>
        <w:ind w:left="160" w:right="20" w:firstLine="70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Появление в последние годы относительно простых неинвазивных методик для оценки сосудодвигательной функции эндотелия, к которым относятся определение эндотелийзависимой вазодилатации (ЭЗВД) плечевой артерии (ПА) в пробе с реактивной гиперемией и эндотелийнезависимой вазодилатации (ЭНЗВД) на фоне пробы с нитроглицерином [Сидоренко Б.А., 2000; </w:t>
      </w:r>
      <w:r w:rsidRPr="00795AD7">
        <w:rPr>
          <w:rFonts w:ascii="Times New Roman" w:eastAsia="Times New Roman" w:hAnsi="Times New Roman" w:cs="Times New Roman"/>
          <w:b/>
          <w:bCs/>
          <w:color w:val="000000"/>
          <w:kern w:val="0"/>
          <w:sz w:val="28"/>
          <w:szCs w:val="28"/>
          <w:lang w:val="en-US" w:eastAsia="en-US" w:bidi="en-US"/>
        </w:rPr>
        <w:t>Celermajer</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D</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S</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et</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al</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 xml:space="preserve">1992], позволило показать наличие ДЭ у больных с ишемической болезнью сердца (ИБС), с артериальной гипертензией (АГ) [Балахонова Т.В. с соавт. 1998; Иванова О.В. с соавт., 1998.; Винник Т.А., 2001], при гиперхолестеринемии и курении </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Zeicher</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A</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M</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et</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al</w:t>
      </w:r>
      <w:r w:rsidRPr="00795AD7">
        <w:rPr>
          <w:rFonts w:ascii="Times New Roman" w:eastAsia="Times New Roman" w:hAnsi="Times New Roman" w:cs="Times New Roman"/>
          <w:b/>
          <w:bCs/>
          <w:color w:val="000000"/>
          <w:kern w:val="0"/>
          <w:sz w:val="28"/>
          <w:szCs w:val="28"/>
          <w:lang w:eastAsia="en-US" w:bidi="en-US"/>
        </w:rPr>
        <w:t xml:space="preserve">., 1994; </w:t>
      </w:r>
      <w:r w:rsidRPr="00795AD7">
        <w:rPr>
          <w:rFonts w:ascii="Times New Roman" w:eastAsia="Times New Roman" w:hAnsi="Times New Roman" w:cs="Times New Roman"/>
          <w:b/>
          <w:bCs/>
          <w:color w:val="000000"/>
          <w:kern w:val="0"/>
          <w:sz w:val="28"/>
          <w:szCs w:val="28"/>
          <w:lang w:val="en-US" w:eastAsia="en-US" w:bidi="en-US"/>
        </w:rPr>
        <w:t>Kaku</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 xml:space="preserve">В. </w:t>
      </w:r>
      <w:r w:rsidRPr="00795AD7">
        <w:rPr>
          <w:rFonts w:ascii="Times New Roman" w:eastAsia="Times New Roman" w:hAnsi="Times New Roman" w:cs="Times New Roman"/>
          <w:b/>
          <w:bCs/>
          <w:color w:val="000000"/>
          <w:kern w:val="0"/>
          <w:sz w:val="28"/>
          <w:szCs w:val="28"/>
          <w:lang w:val="en-US" w:eastAsia="en-US" w:bidi="en-US"/>
        </w:rPr>
        <w:t>et</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al</w:t>
      </w:r>
      <w:r w:rsidRPr="00795AD7">
        <w:rPr>
          <w:rFonts w:ascii="Times New Roman" w:eastAsia="Times New Roman" w:hAnsi="Times New Roman" w:cs="Times New Roman"/>
          <w:b/>
          <w:bCs/>
          <w:color w:val="000000"/>
          <w:kern w:val="0"/>
          <w:sz w:val="28"/>
          <w:szCs w:val="28"/>
          <w:lang w:eastAsia="en-US" w:bidi="en-US"/>
        </w:rPr>
        <w:t xml:space="preserve">., 1998]. </w:t>
      </w:r>
      <w:r w:rsidRPr="00795AD7">
        <w:rPr>
          <w:rFonts w:ascii="Times New Roman" w:eastAsia="Times New Roman" w:hAnsi="Times New Roman" w:cs="Times New Roman"/>
          <w:b/>
          <w:bCs/>
          <w:color w:val="000000"/>
          <w:kern w:val="0"/>
          <w:sz w:val="28"/>
          <w:szCs w:val="28"/>
          <w:lang w:eastAsia="ru-RU" w:bidi="ru-RU"/>
        </w:rPr>
        <w:t xml:space="preserve">Данные об изменениях эндотелиальной регуляции сосудистого тонуса у больных СД не столь однозначны. В ряде крупных исследований продемонстрировано нарушение ЭЗВД у больных СД типа 1 [Шестакова М.В. с соавт., 2003; </w:t>
      </w:r>
      <w:r w:rsidRPr="00795AD7">
        <w:rPr>
          <w:rFonts w:ascii="Times New Roman" w:eastAsia="Times New Roman" w:hAnsi="Times New Roman" w:cs="Times New Roman"/>
          <w:b/>
          <w:bCs/>
          <w:color w:val="000000"/>
          <w:kern w:val="0"/>
          <w:sz w:val="28"/>
          <w:szCs w:val="28"/>
          <w:lang w:val="en-US" w:eastAsia="en-US" w:bidi="en-US"/>
        </w:rPr>
        <w:t>JohnstonM</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et</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al</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 xml:space="preserve">1992; </w:t>
      </w:r>
      <w:r w:rsidRPr="00795AD7">
        <w:rPr>
          <w:rFonts w:ascii="Times New Roman" w:eastAsia="Times New Roman" w:hAnsi="Times New Roman" w:cs="Times New Roman"/>
          <w:b/>
          <w:bCs/>
          <w:color w:val="000000"/>
          <w:kern w:val="0"/>
          <w:sz w:val="28"/>
          <w:szCs w:val="28"/>
          <w:lang w:val="en-US" w:eastAsia="en-US" w:bidi="en-US"/>
        </w:rPr>
        <w:t>Clarkson</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P</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et</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al</w:t>
      </w:r>
      <w:r w:rsidRPr="00795AD7">
        <w:rPr>
          <w:rFonts w:ascii="Times New Roman" w:eastAsia="Times New Roman" w:hAnsi="Times New Roman" w:cs="Times New Roman"/>
          <w:b/>
          <w:bCs/>
          <w:color w:val="000000"/>
          <w:kern w:val="0"/>
          <w:sz w:val="28"/>
          <w:szCs w:val="28"/>
          <w:lang w:eastAsia="en-US" w:bidi="en-US"/>
        </w:rPr>
        <w:t xml:space="preserve">., 1996]. </w:t>
      </w:r>
      <w:r w:rsidRPr="00795AD7">
        <w:rPr>
          <w:rFonts w:ascii="Times New Roman" w:eastAsia="Times New Roman" w:hAnsi="Times New Roman" w:cs="Times New Roman"/>
          <w:b/>
          <w:bCs/>
          <w:color w:val="000000"/>
          <w:kern w:val="0"/>
          <w:sz w:val="28"/>
          <w:szCs w:val="28"/>
          <w:lang w:eastAsia="ru-RU" w:bidi="ru-RU"/>
        </w:rPr>
        <w:t xml:space="preserve">В то же время, работы по исследованию нарушений сосудодвигательной функции эндотелия у больных СД типа 2 малочисленны </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Watts</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G</w:t>
      </w:r>
      <w:r w:rsidRPr="00795AD7">
        <w:rPr>
          <w:rFonts w:ascii="Times New Roman" w:eastAsia="Times New Roman" w:hAnsi="Times New Roman" w:cs="Times New Roman"/>
          <w:b/>
          <w:bCs/>
          <w:color w:val="000000"/>
          <w:kern w:val="0"/>
          <w:sz w:val="28"/>
          <w:szCs w:val="28"/>
          <w:lang w:eastAsia="en-US" w:bidi="en-US"/>
        </w:rPr>
        <w:t>.</w:t>
      </w:r>
      <w:r w:rsidRPr="00795AD7">
        <w:rPr>
          <w:rFonts w:ascii="Times New Roman" w:eastAsia="Times New Roman" w:hAnsi="Times New Roman" w:cs="Times New Roman"/>
          <w:b/>
          <w:bCs/>
          <w:color w:val="000000"/>
          <w:kern w:val="0"/>
          <w:sz w:val="28"/>
          <w:szCs w:val="28"/>
          <w:lang w:val="en-US" w:eastAsia="en-US" w:bidi="en-US"/>
        </w:rPr>
        <w:t>H</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et</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al</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eastAsia="ru-RU" w:bidi="ru-RU"/>
        </w:rPr>
        <w:t xml:space="preserve">1996]. Полагают, что развитие ДЭ у пациентов с СД связано с такими факторами как гипергликемия, оксидативный стресс, метаболизм глюкозы по полиоловому пути, протеинкиназа С, конечные продукты гликозилирования (Горбенко Н.И., 2000; </w:t>
      </w:r>
      <w:r w:rsidRPr="00795AD7">
        <w:rPr>
          <w:rFonts w:ascii="Times New Roman" w:eastAsia="Times New Roman" w:hAnsi="Times New Roman" w:cs="Times New Roman"/>
          <w:b/>
          <w:bCs/>
          <w:color w:val="000000"/>
          <w:kern w:val="0"/>
          <w:sz w:val="28"/>
          <w:szCs w:val="28"/>
          <w:lang w:val="en-US" w:eastAsia="en-US" w:bidi="en-US"/>
        </w:rPr>
        <w:t>Chan</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N</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et</w:t>
      </w:r>
      <w:r w:rsidRPr="00795AD7">
        <w:rPr>
          <w:rFonts w:ascii="Times New Roman" w:eastAsia="Times New Roman" w:hAnsi="Times New Roman" w:cs="Times New Roman"/>
          <w:b/>
          <w:bCs/>
          <w:color w:val="000000"/>
          <w:kern w:val="0"/>
          <w:sz w:val="28"/>
          <w:szCs w:val="28"/>
          <w:lang w:eastAsia="en-US" w:bidi="en-US"/>
        </w:rPr>
        <w:t xml:space="preserve"> </w:t>
      </w:r>
      <w:r w:rsidRPr="00795AD7">
        <w:rPr>
          <w:rFonts w:ascii="Times New Roman" w:eastAsia="Times New Roman" w:hAnsi="Times New Roman" w:cs="Times New Roman"/>
          <w:b/>
          <w:bCs/>
          <w:color w:val="000000"/>
          <w:kern w:val="0"/>
          <w:sz w:val="28"/>
          <w:szCs w:val="28"/>
          <w:lang w:val="en-US" w:eastAsia="en-US" w:bidi="en-US"/>
        </w:rPr>
        <w:t>al</w:t>
      </w:r>
      <w:r w:rsidRPr="00795AD7">
        <w:rPr>
          <w:rFonts w:ascii="Times New Roman" w:eastAsia="Times New Roman" w:hAnsi="Times New Roman" w:cs="Times New Roman"/>
          <w:b/>
          <w:bCs/>
          <w:color w:val="000000"/>
          <w:kern w:val="0"/>
          <w:sz w:val="28"/>
          <w:szCs w:val="28"/>
          <w:lang w:eastAsia="en-US" w:bidi="en-US"/>
        </w:rPr>
        <w:t xml:space="preserve">., 2000). </w:t>
      </w:r>
      <w:r w:rsidRPr="00795AD7">
        <w:rPr>
          <w:rFonts w:ascii="Times New Roman" w:eastAsia="Times New Roman" w:hAnsi="Times New Roman" w:cs="Times New Roman"/>
          <w:b/>
          <w:bCs/>
          <w:color w:val="000000"/>
          <w:kern w:val="0"/>
          <w:sz w:val="28"/>
          <w:szCs w:val="28"/>
          <w:lang w:eastAsia="ru-RU" w:bidi="ru-RU"/>
        </w:rPr>
        <w:t>Вместе с тем, до настоящего времени остается недостаточно изученным вклад в развитие ДЭ таких антропометрических, метаболических, гемодинамических факторов как пол, возраст, давность обнаружения диабета, курение, уровень гликемии натощак и общего холестерина (ОХ) в сыворотке крови, систолическое (САД) и диастолическое артериальное давление (ДАД), уровень альбуминурии, часто приводящих к различным микро- и макрососудистым осложнениям у больных СД типа 2. Значение этих факторов в отношении развития ДЭ до настоящего времени точно не оценено, поскольку в различных экспериментальных и клинических исследованиях были получены неоднозначные, а подчас и противоречивые результаты.</w:t>
      </w:r>
    </w:p>
    <w:p w:rsidR="00795AD7" w:rsidRPr="00795AD7" w:rsidRDefault="00795AD7" w:rsidP="00795AD7">
      <w:pPr>
        <w:tabs>
          <w:tab w:val="clear" w:pos="709"/>
        </w:tabs>
        <w:suppressAutoHyphens w:val="0"/>
        <w:spacing w:after="420" w:line="480" w:lineRule="exact"/>
        <w:ind w:left="140" w:firstLine="72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В связи с вышеизложенным, представляется актуальным изучение взаимосвязи ДЭ с различными антропометрическими, метаболическими, гемодинамическими и другими факторами риска сосудистых осложнений у больных СД типа 2.</w:t>
      </w:r>
    </w:p>
    <w:p w:rsidR="00795AD7" w:rsidRPr="00795AD7" w:rsidRDefault="00795AD7" w:rsidP="00795AD7">
      <w:pPr>
        <w:tabs>
          <w:tab w:val="clear" w:pos="709"/>
        </w:tabs>
        <w:suppressAutoHyphens w:val="0"/>
        <w:spacing w:after="0" w:line="480" w:lineRule="exact"/>
        <w:ind w:right="100"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Цель исследования</w:t>
      </w:r>
    </w:p>
    <w:p w:rsidR="00795AD7" w:rsidRPr="00795AD7" w:rsidRDefault="00795AD7" w:rsidP="00795AD7">
      <w:pPr>
        <w:tabs>
          <w:tab w:val="clear" w:pos="709"/>
        </w:tabs>
        <w:suppressAutoHyphens w:val="0"/>
        <w:spacing w:after="580" w:line="480" w:lineRule="exact"/>
        <w:ind w:left="20" w:firstLine="72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Оценить состояние функции эндотелия у больных сахарным диабетом типа 2, а также зависимость дисфункции эндотелия от других факторов риска сосудистых осложнений.</w:t>
      </w:r>
    </w:p>
    <w:p w:rsidR="00795AD7" w:rsidRPr="00795AD7" w:rsidRDefault="00795AD7" w:rsidP="00795AD7">
      <w:pPr>
        <w:tabs>
          <w:tab w:val="clear" w:pos="709"/>
        </w:tabs>
        <w:suppressAutoHyphens w:val="0"/>
        <w:spacing w:after="0" w:line="280" w:lineRule="exact"/>
        <w:ind w:right="100"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Задачи</w:t>
      </w:r>
    </w:p>
    <w:p w:rsidR="00795AD7" w:rsidRPr="00795AD7" w:rsidRDefault="00795AD7" w:rsidP="00795AD7">
      <w:pPr>
        <w:numPr>
          <w:ilvl w:val="0"/>
          <w:numId w:val="11"/>
        </w:numPr>
        <w:tabs>
          <w:tab w:val="clear" w:pos="709"/>
        </w:tabs>
        <w:suppressAutoHyphens w:val="0"/>
        <w:spacing w:after="68" w:line="490"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Оценить степень эндотелийзависимой и независимой вазодилатации плечевой артерии у больных СД типа 2.</w:t>
      </w:r>
    </w:p>
    <w:p w:rsidR="00795AD7" w:rsidRPr="00795AD7" w:rsidRDefault="00795AD7" w:rsidP="00795AD7">
      <w:pPr>
        <w:numPr>
          <w:ilvl w:val="0"/>
          <w:numId w:val="11"/>
        </w:numPr>
        <w:tabs>
          <w:tab w:val="clear" w:pos="709"/>
        </w:tabs>
        <w:suppressAutoHyphens w:val="0"/>
        <w:spacing w:after="0" w:line="480" w:lineRule="exact"/>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Оценить степень эндотелийзависимой и независимой вазодилатации плечевой артерии у лиц без нарушений углеводного обмена.</w:t>
      </w:r>
    </w:p>
    <w:p w:rsidR="00795AD7" w:rsidRPr="00795AD7" w:rsidRDefault="00795AD7" w:rsidP="00795AD7">
      <w:pPr>
        <w:numPr>
          <w:ilvl w:val="0"/>
          <w:numId w:val="11"/>
        </w:numPr>
        <w:tabs>
          <w:tab w:val="clear" w:pos="709"/>
          <w:tab w:val="left" w:pos="1057"/>
        </w:tabs>
        <w:suppressAutoHyphens w:val="0"/>
        <w:spacing w:after="660" w:line="480" w:lineRule="exact"/>
        <w:ind w:right="2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Изучить вклад различных факторов риска сосудистых осложнений в развитие ДЭ у больных СД типа 2.</w:t>
      </w:r>
    </w:p>
    <w:p w:rsidR="00795AD7" w:rsidRPr="00795AD7" w:rsidRDefault="00795AD7" w:rsidP="00795AD7">
      <w:pPr>
        <w:tabs>
          <w:tab w:val="clear" w:pos="709"/>
        </w:tabs>
        <w:suppressAutoHyphens w:val="0"/>
        <w:spacing w:after="0" w:line="480" w:lineRule="exact"/>
        <w:ind w:right="340"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Научная новизна</w:t>
      </w:r>
    </w:p>
    <w:p w:rsidR="00795AD7" w:rsidRPr="00795AD7" w:rsidRDefault="00795AD7" w:rsidP="00795AD7">
      <w:pPr>
        <w:tabs>
          <w:tab w:val="clear" w:pos="709"/>
        </w:tabs>
        <w:suppressAutoHyphens w:val="0"/>
        <w:spacing w:after="124" w:line="480" w:lineRule="exact"/>
        <w:ind w:right="20" w:firstLine="72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Впервые у больных СД типа 2 изучено влияние факторов риска сосудистых осложнений на состояние функции эндотелия.</w:t>
      </w:r>
    </w:p>
    <w:p w:rsidR="00795AD7" w:rsidRPr="00795AD7" w:rsidRDefault="00795AD7" w:rsidP="00795AD7">
      <w:pPr>
        <w:tabs>
          <w:tab w:val="clear" w:pos="709"/>
        </w:tabs>
        <w:suppressAutoHyphens w:val="0"/>
        <w:spacing w:after="120" w:line="475" w:lineRule="exact"/>
        <w:ind w:right="20" w:firstLine="72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Впервые показана зависимость степени усугубления ДЭ у больных СД типа 2 от повышенного уровня гликемии натощак и общего холестерина в сыворотке крови, являющихся факторами риска сосудистых осложнений.</w:t>
      </w:r>
    </w:p>
    <w:p w:rsidR="00795AD7" w:rsidRPr="00795AD7" w:rsidRDefault="00795AD7" w:rsidP="00795AD7">
      <w:pPr>
        <w:tabs>
          <w:tab w:val="clear" w:pos="709"/>
        </w:tabs>
        <w:suppressAutoHyphens w:val="0"/>
        <w:spacing w:after="816" w:line="475" w:lineRule="exact"/>
        <w:ind w:right="20" w:firstLine="72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Впервые у больных СД типа 2 продемонстрирована взаимосвязь между повышением САД и протеинурией с одной стороны и ДЭ - с другой.</w:t>
      </w:r>
    </w:p>
    <w:p w:rsidR="00795AD7" w:rsidRPr="00795AD7" w:rsidRDefault="00795AD7" w:rsidP="00795AD7">
      <w:pPr>
        <w:tabs>
          <w:tab w:val="clear" w:pos="709"/>
        </w:tabs>
        <w:suppressAutoHyphens w:val="0"/>
        <w:spacing w:after="182" w:line="280" w:lineRule="exact"/>
        <w:ind w:left="342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Практическая значимость</w:t>
      </w:r>
    </w:p>
    <w:p w:rsidR="00795AD7" w:rsidRPr="00795AD7" w:rsidRDefault="00795AD7" w:rsidP="00795AD7">
      <w:pPr>
        <w:numPr>
          <w:ilvl w:val="0"/>
          <w:numId w:val="12"/>
        </w:numPr>
        <w:tabs>
          <w:tab w:val="clear" w:pos="709"/>
        </w:tabs>
        <w:suppressAutoHyphens w:val="0"/>
        <w:spacing w:after="120" w:line="480" w:lineRule="exact"/>
        <w:ind w:right="2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Показана высокая информативность неинвазивного метода ультразвукового определения эндотелийзависимой и независимой вазодилатации ПА для оценки сосудодвигательной функции эндотелия у больных СД типа 2.</w:t>
      </w:r>
    </w:p>
    <w:p w:rsidR="00795AD7" w:rsidRPr="00795AD7" w:rsidRDefault="00795AD7" w:rsidP="00795AD7">
      <w:pPr>
        <w:numPr>
          <w:ilvl w:val="0"/>
          <w:numId w:val="12"/>
        </w:numPr>
        <w:tabs>
          <w:tab w:val="clear" w:pos="709"/>
        </w:tabs>
        <w:suppressAutoHyphens w:val="0"/>
        <w:spacing w:after="116" w:line="480" w:lineRule="exact"/>
        <w:ind w:right="2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Выявленные зависимости дисфункции эндотелия от повышенного уровня гликемии натощак, общего холестерина в сыворотке крови, альбуминурии и САД у больных СД типа 2 позволяют предполагать, что своевременная борьба с данными факторами риска будет способствовать уменьшению частоты и тяжести сосудистых осложнений и приведет к улучшению качества жизни, снижению высокой инвалидизации и летальности у данной категории пациентов.</w:t>
      </w:r>
    </w:p>
    <w:p w:rsidR="00795AD7" w:rsidRPr="00795AD7" w:rsidRDefault="00795AD7" w:rsidP="00795AD7">
      <w:pPr>
        <w:numPr>
          <w:ilvl w:val="0"/>
          <w:numId w:val="12"/>
        </w:numPr>
        <w:tabs>
          <w:tab w:val="clear" w:pos="709"/>
        </w:tabs>
        <w:suppressAutoHyphens w:val="0"/>
        <w:spacing w:after="68" w:line="485" w:lineRule="exact"/>
        <w:ind w:right="2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Полученные данные позволяют расценивать микроальбуминурию (МАУ) как один из предикторов дисфункции эндотелия у больных СД типа 2, что позволит начать раннюю терапию, направленную на улучшение функции эндотелия уже на данной стадии диабетической нефропатии.</w:t>
      </w:r>
    </w:p>
    <w:p w:rsidR="00795AD7" w:rsidRPr="00795AD7" w:rsidRDefault="00795AD7" w:rsidP="00795AD7">
      <w:pPr>
        <w:numPr>
          <w:ilvl w:val="0"/>
          <w:numId w:val="12"/>
        </w:numPr>
        <w:tabs>
          <w:tab w:val="clear" w:pos="709"/>
          <w:tab w:val="left" w:pos="1243"/>
        </w:tabs>
        <w:suppressAutoHyphens w:val="0"/>
        <w:spacing w:after="696" w:line="475" w:lineRule="exact"/>
        <w:ind w:right="2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Выявленное прогрессивное ухудшение функции эндотелия в молодом возрасте у больных СД типа 2 определяет необходимость улучшения состояния эндотелиальных клеток уже на этом этапе развития дисфункции эндотелия.</w:t>
      </w:r>
    </w:p>
    <w:p w:rsidR="00795AD7" w:rsidRPr="00795AD7" w:rsidRDefault="00795AD7" w:rsidP="00795AD7">
      <w:pPr>
        <w:tabs>
          <w:tab w:val="clear" w:pos="709"/>
        </w:tabs>
        <w:suppressAutoHyphens w:val="0"/>
        <w:spacing w:after="121" w:line="280" w:lineRule="exact"/>
        <w:ind w:left="144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Основные положения диссертации, выносимые на защиту</w:t>
      </w:r>
    </w:p>
    <w:p w:rsidR="00795AD7" w:rsidRPr="00795AD7" w:rsidRDefault="00795AD7" w:rsidP="00795AD7">
      <w:pPr>
        <w:numPr>
          <w:ilvl w:val="0"/>
          <w:numId w:val="13"/>
        </w:numPr>
        <w:tabs>
          <w:tab w:val="clear" w:pos="709"/>
        </w:tabs>
        <w:suppressAutoHyphens w:val="0"/>
        <w:spacing w:after="56" w:line="475" w:lineRule="exact"/>
        <w:ind w:right="2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Больным СД типа 2 свойственно снижение прироста диаметра плечевой артерии при проведении пробы с реактивной гиперемией.</w:t>
      </w:r>
    </w:p>
    <w:p w:rsidR="00795AD7" w:rsidRPr="00795AD7" w:rsidRDefault="00795AD7" w:rsidP="00795AD7">
      <w:pPr>
        <w:numPr>
          <w:ilvl w:val="0"/>
          <w:numId w:val="13"/>
        </w:numPr>
        <w:tabs>
          <w:tab w:val="clear" w:pos="709"/>
        </w:tabs>
        <w:suppressAutoHyphens w:val="0"/>
        <w:spacing w:after="60" w:line="480" w:lineRule="exact"/>
        <w:ind w:right="2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У лиц без нарушения углеводного обмена эндотелийзависимая вазодилатация плечевой артерии меняется, не выходя за пределы нормы.</w:t>
      </w:r>
    </w:p>
    <w:p w:rsidR="00795AD7" w:rsidRPr="00795AD7" w:rsidRDefault="00795AD7" w:rsidP="00795AD7">
      <w:pPr>
        <w:numPr>
          <w:ilvl w:val="0"/>
          <w:numId w:val="13"/>
        </w:numPr>
        <w:tabs>
          <w:tab w:val="clear" w:pos="709"/>
        </w:tabs>
        <w:suppressAutoHyphens w:val="0"/>
        <w:spacing w:after="0" w:line="480" w:lineRule="exact"/>
        <w:ind w:right="2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У больных СД типа 2 существует прямая корреляционная зависимость между эндотелийзависимым приростом диаметра плечевой артерии и вазодилатацией после пробы с нитроглицерином.</w:t>
      </w:r>
    </w:p>
    <w:p w:rsidR="00795AD7" w:rsidRPr="00795AD7" w:rsidRDefault="00795AD7" w:rsidP="00795AD7">
      <w:pPr>
        <w:numPr>
          <w:ilvl w:val="0"/>
          <w:numId w:val="13"/>
        </w:numPr>
        <w:tabs>
          <w:tab w:val="clear" w:pos="709"/>
        </w:tabs>
        <w:suppressAutoHyphens w:val="0"/>
        <w:spacing w:after="0" w:line="480" w:lineRule="exact"/>
        <w:ind w:right="2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Изменения диаметра плечевой артерии в ответ на пробу с реактивной гиперемией у больных СД типа 2 зависят от нарушения углеводного обмена: по мере нарастания уровня гликемии снижается прирост диаметра плечевой артерии. Вместе с тем, у пациентов с нормоальбуминурией после окклюзии плечевой артерии манжетой отмечается максимальный прирост, а у больных в протеинурической стадии диабетической нефропатии наблюдается минимальный прирост диаметра плечевой артерии.</w:t>
      </w:r>
    </w:p>
    <w:p w:rsidR="00795AD7" w:rsidRPr="00795AD7" w:rsidRDefault="00795AD7" w:rsidP="00795AD7">
      <w:pPr>
        <w:numPr>
          <w:ilvl w:val="0"/>
          <w:numId w:val="13"/>
        </w:numPr>
        <w:tabs>
          <w:tab w:val="clear" w:pos="709"/>
        </w:tabs>
        <w:suppressAutoHyphens w:val="0"/>
        <w:spacing w:after="420" w:line="480" w:lineRule="exact"/>
        <w:ind w:right="2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 xml:space="preserve"> Среди больных СД типа 2 в возрасте от 40 до 55 лет выявляется более низкая степень эндотелийзависимого прироста диаметра плечевой артерии по сравнению со старшей возрастной категорией. С увеличением давности обнаружения заболевания, а также повышением уровня общего холестерина и систолического артериального давления наблюдается значимое снижение степени эндотелийзависимой вазодилатации плечевой артерии.</w:t>
      </w:r>
    </w:p>
    <w:p w:rsidR="00795AD7" w:rsidRPr="00795AD7" w:rsidRDefault="00795AD7" w:rsidP="00795AD7">
      <w:pPr>
        <w:tabs>
          <w:tab w:val="clear" w:pos="709"/>
        </w:tabs>
        <w:suppressAutoHyphens w:val="0"/>
        <w:spacing w:after="0"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Апробация работы и реализация результатов исследования.</w:t>
      </w:r>
    </w:p>
    <w:p w:rsidR="00795AD7" w:rsidRPr="00795AD7" w:rsidRDefault="00795AD7" w:rsidP="00795AD7">
      <w:pPr>
        <w:tabs>
          <w:tab w:val="clear" w:pos="709"/>
        </w:tabs>
        <w:suppressAutoHyphens w:val="0"/>
        <w:spacing w:after="0" w:line="480" w:lineRule="exact"/>
        <w:ind w:left="20" w:right="20" w:firstLine="72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Основные материалы и положения диссертации доложены на Всероссийской научно-практической конференции «Клиническая эндокринология — достижения и перспективы», посвященной 80-летию со дня рождения проф. Д.Я. Шурыгина (апрель 2003 г.), VI Всероссийской Научно-практической конференции «Актуальные вопросы клиники, диагностики и лечения в многопрофильном лечебном учреждении» (апрель 2003 г.). По теме диссертации опубликовано 8 научных работ.</w:t>
      </w:r>
    </w:p>
    <w:p w:rsidR="00795AD7" w:rsidRPr="00795AD7" w:rsidRDefault="00795AD7" w:rsidP="00795AD7">
      <w:pPr>
        <w:tabs>
          <w:tab w:val="clear" w:pos="709"/>
        </w:tabs>
        <w:suppressAutoHyphens w:val="0"/>
        <w:spacing w:after="580" w:line="480" w:lineRule="exact"/>
        <w:ind w:left="20" w:right="20" w:firstLine="720"/>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Полученные теоретические и практические данные внедрены в лечебно-диагностическую работу клиники терапии усовершенствования врачей имени профессора Н.С. Молчанова, а также используются на одноименной кафедре при изложении лекций для слушателей факультета руководящего состава Военно-медицинской академии, посвященных актуальным проблемам диабетологии, и факультета усовершенствования и переподготовки врачей на цикле диабетология, эндокринология.</w:t>
      </w:r>
    </w:p>
    <w:p w:rsidR="00795AD7" w:rsidRPr="00795AD7" w:rsidRDefault="00795AD7" w:rsidP="00795AD7">
      <w:pPr>
        <w:tabs>
          <w:tab w:val="clear" w:pos="709"/>
        </w:tabs>
        <w:suppressAutoHyphens w:val="0"/>
        <w:spacing w:after="182" w:line="280" w:lineRule="exact"/>
        <w:ind w:left="3040" w:firstLine="0"/>
        <w:jc w:val="left"/>
        <w:rPr>
          <w:rFonts w:ascii="Times New Roman" w:eastAsia="Times New Roman" w:hAnsi="Times New Roman" w:cs="Times New Roman"/>
          <w:b/>
          <w:bCs/>
          <w:color w:val="000000"/>
          <w:kern w:val="0"/>
          <w:sz w:val="28"/>
          <w:szCs w:val="28"/>
          <w:lang w:eastAsia="ru-RU" w:bidi="ru-RU"/>
        </w:rPr>
      </w:pPr>
      <w:r w:rsidRPr="00795AD7">
        <w:rPr>
          <w:rFonts w:ascii="Times New Roman" w:eastAsia="Times New Roman" w:hAnsi="Times New Roman" w:cs="Times New Roman"/>
          <w:b/>
          <w:bCs/>
          <w:color w:val="000000"/>
          <w:kern w:val="0"/>
          <w:sz w:val="28"/>
          <w:szCs w:val="28"/>
          <w:lang w:eastAsia="ru-RU" w:bidi="ru-RU"/>
        </w:rPr>
        <w:t>Структура и объем диссертации</w:t>
      </w:r>
    </w:p>
    <w:p w:rsidR="00795AD7" w:rsidRDefault="00795AD7" w:rsidP="00795AD7">
      <w:pPr>
        <w:rPr>
          <w:rFonts w:ascii="Courier New" w:hAnsi="Courier New"/>
          <w:color w:val="000000"/>
          <w:kern w:val="0"/>
          <w:sz w:val="24"/>
          <w:szCs w:val="24"/>
          <w:lang w:val="en-US" w:eastAsia="ru-RU" w:bidi="ru-RU"/>
        </w:rPr>
      </w:pPr>
      <w:r w:rsidRPr="00795AD7">
        <w:rPr>
          <w:rFonts w:ascii="Courier New" w:hAnsi="Courier New"/>
          <w:color w:val="000000"/>
          <w:kern w:val="0"/>
          <w:sz w:val="24"/>
          <w:szCs w:val="24"/>
          <w:lang w:eastAsia="ru-RU" w:bidi="ru-RU"/>
        </w:rPr>
        <w:t>Диссертация изложена на 160 страницах машинописного текста и состоит из введения, обзора литературы, материалов и методов, 1 главы собственных исследований, обсуждения, выводов, практических рекомендаций и списка литературы. Работа иллюстрирована 32 таблицами и 30 рисунками. Библиографический указатель включает названия 187 работ (41 отечественных и 146 иностранных авторов).</w:t>
      </w:r>
    </w:p>
    <w:p w:rsidR="00795AD7" w:rsidRDefault="00795AD7" w:rsidP="00795AD7">
      <w:pPr>
        <w:rPr>
          <w:rFonts w:ascii="Courier New" w:hAnsi="Courier New"/>
          <w:color w:val="000000"/>
          <w:kern w:val="0"/>
          <w:sz w:val="24"/>
          <w:szCs w:val="24"/>
          <w:lang w:val="en-US" w:eastAsia="ru-RU" w:bidi="ru-RU"/>
        </w:rPr>
      </w:pPr>
    </w:p>
    <w:p w:rsidR="00795AD7" w:rsidRDefault="00795AD7" w:rsidP="00795AD7">
      <w:pPr>
        <w:rPr>
          <w:rFonts w:ascii="Courier New" w:hAnsi="Courier New"/>
          <w:color w:val="000000"/>
          <w:kern w:val="0"/>
          <w:sz w:val="24"/>
          <w:szCs w:val="24"/>
          <w:lang w:val="en-US" w:eastAsia="ru-RU" w:bidi="ru-RU"/>
        </w:rPr>
      </w:pPr>
    </w:p>
    <w:p w:rsidR="00795AD7" w:rsidRPr="00795AD7" w:rsidRDefault="00795AD7" w:rsidP="00795AD7">
      <w:pPr>
        <w:tabs>
          <w:tab w:val="clear" w:pos="709"/>
        </w:tabs>
        <w:suppressAutoHyphens w:val="0"/>
        <w:spacing w:after="486" w:line="280" w:lineRule="exact"/>
        <w:ind w:left="20" w:firstLine="0"/>
        <w:jc w:val="center"/>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ВЫВОДЫ</w:t>
      </w:r>
    </w:p>
    <w:p w:rsidR="00795AD7" w:rsidRPr="00795AD7" w:rsidRDefault="00795AD7" w:rsidP="00795AD7">
      <w:pPr>
        <w:numPr>
          <w:ilvl w:val="0"/>
          <w:numId w:val="14"/>
        </w:numPr>
        <w:tabs>
          <w:tab w:val="clear" w:pos="709"/>
        </w:tabs>
        <w:suppressAutoHyphens w:val="0"/>
        <w:spacing w:after="0" w:line="480" w:lineRule="exact"/>
        <w:ind w:right="4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 xml:space="preserve"> У больных СД типа 2 имеется отчетливая дисфункция эндотелия, проявляющаяся снижением эндотелийзависимой вазодилатации плечевой артерии при проведении пробы с реактивной гиперемией.</w:t>
      </w:r>
    </w:p>
    <w:p w:rsidR="00795AD7" w:rsidRPr="00795AD7" w:rsidRDefault="00795AD7" w:rsidP="00795AD7">
      <w:pPr>
        <w:numPr>
          <w:ilvl w:val="0"/>
          <w:numId w:val="14"/>
        </w:numPr>
        <w:tabs>
          <w:tab w:val="clear" w:pos="709"/>
        </w:tabs>
        <w:suppressAutoHyphens w:val="0"/>
        <w:spacing w:after="0" w:line="480" w:lineRule="exact"/>
        <w:ind w:right="4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 xml:space="preserve"> Среди пациентов без нарушения углеводного обмена функция эндотелия сохранена, однако такие факторы риска как возраст, курение, гиперхолестеринемия и особенно повышенное систолическое артериальное давление играют значимую роль в ее изменении.</w:t>
      </w:r>
    </w:p>
    <w:p w:rsidR="00795AD7" w:rsidRPr="00795AD7" w:rsidRDefault="00795AD7" w:rsidP="00795AD7">
      <w:pPr>
        <w:numPr>
          <w:ilvl w:val="0"/>
          <w:numId w:val="14"/>
        </w:numPr>
        <w:tabs>
          <w:tab w:val="clear" w:pos="709"/>
        </w:tabs>
        <w:suppressAutoHyphens w:val="0"/>
        <w:spacing w:after="0" w:line="480" w:lineRule="exact"/>
        <w:ind w:right="4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 xml:space="preserve"> Снижение индуцированного нитроглицерином прироста диаметра плечевой артерии сопровождается уменьшением степени ее эндотелийзависимой вазодилатации, что указывает на усугубление функции эндотелия у больных СД типа 2.</w:t>
      </w:r>
    </w:p>
    <w:p w:rsidR="00795AD7" w:rsidRPr="00795AD7" w:rsidRDefault="00795AD7" w:rsidP="00795AD7">
      <w:pPr>
        <w:numPr>
          <w:ilvl w:val="0"/>
          <w:numId w:val="14"/>
        </w:numPr>
        <w:tabs>
          <w:tab w:val="clear" w:pos="709"/>
        </w:tabs>
        <w:suppressAutoHyphens w:val="0"/>
        <w:spacing w:after="0" w:line="480" w:lineRule="exact"/>
        <w:ind w:right="4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 xml:space="preserve"> У больных СД типа 2 с увеличением уровня гликемии натощак происходит закономерное ухудшение сосудодвигательной функции эндотелия в виде значимого снижения прироста диаметра плечевой артерии на фоне пробы с реактивной гиперемией. Аналогично, по мере нарастания альбуминурии у пациентов от </w:t>
      </w:r>
      <w:r w:rsidRPr="00795AD7">
        <w:rPr>
          <w:rFonts w:ascii="Times New Roman" w:eastAsia="Times New Roman" w:hAnsi="Times New Roman" w:cs="Times New Roman"/>
          <w:b/>
          <w:bCs/>
          <w:color w:val="000000"/>
          <w:kern w:val="0"/>
          <w:sz w:val="28"/>
          <w:szCs w:val="28"/>
          <w:shd w:val="clear" w:color="auto" w:fill="FFFFFF"/>
          <w:lang w:val="uk-UA" w:eastAsia="uk-UA" w:bidi="uk-UA"/>
        </w:rPr>
        <w:t xml:space="preserve">нормо- </w:t>
      </w:r>
      <w:r w:rsidRPr="00795AD7">
        <w:rPr>
          <w:rFonts w:ascii="Times New Roman" w:eastAsia="Times New Roman" w:hAnsi="Times New Roman" w:cs="Times New Roman"/>
          <w:b/>
          <w:bCs/>
          <w:color w:val="000000"/>
          <w:kern w:val="0"/>
          <w:sz w:val="28"/>
          <w:szCs w:val="28"/>
          <w:shd w:val="clear" w:color="auto" w:fill="FFFFFF"/>
          <w:lang w:eastAsia="ru-RU" w:bidi="ru-RU"/>
        </w:rPr>
        <w:t>до протеинурической стадии диабетической нефропатии, также отмечается достоверное снижение эндотелийзависимой вазодилатации.</w:t>
      </w:r>
    </w:p>
    <w:p w:rsidR="00795AD7" w:rsidRPr="00795AD7" w:rsidRDefault="00795AD7" w:rsidP="00795AD7">
      <w:pPr>
        <w:numPr>
          <w:ilvl w:val="0"/>
          <w:numId w:val="14"/>
        </w:numPr>
        <w:tabs>
          <w:tab w:val="clear" w:pos="709"/>
        </w:tabs>
        <w:suppressAutoHyphens w:val="0"/>
        <w:spacing w:after="232" w:line="480" w:lineRule="exact"/>
        <w:ind w:right="4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 xml:space="preserve"> Возраст пациента, как независимый фактор риска сосудистых осложнений, у больных СД типа 2 имеет самостоятельное значение в диапазоне от 40 до 55 лет, что подтверждается наличием наиболее выраженной дисфункции эндотелия в этот период. В развитии нарушений функции эндотелия у больных СД типа 2 значимую роль играют также такие факторы риска сосудистых осложнений, как давность обнаружения диабета, повышенный уровень общего холестерина в сыворотке крови и особенно повышенное систолическое артериальное давление, что подтверждается достоверным снижением эндотелийзависимого прироста диаметра плечевой артерии.</w:t>
      </w:r>
    </w:p>
    <w:p w:rsidR="00795AD7" w:rsidRPr="00795AD7" w:rsidRDefault="00795AD7" w:rsidP="00795AD7">
      <w:pPr>
        <w:tabs>
          <w:tab w:val="clear" w:pos="709"/>
        </w:tabs>
        <w:suppressAutoHyphens w:val="0"/>
        <w:spacing w:after="0" w:line="490" w:lineRule="exact"/>
        <w:ind w:firstLine="0"/>
        <w:jc w:val="center"/>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ПРАКТИЧЕСКИЕ РЕКОМЕНДАЦИИ</w:t>
      </w:r>
    </w:p>
    <w:p w:rsidR="00795AD7" w:rsidRPr="00795AD7" w:rsidRDefault="00795AD7" w:rsidP="00795AD7">
      <w:pPr>
        <w:numPr>
          <w:ilvl w:val="0"/>
          <w:numId w:val="15"/>
        </w:numPr>
        <w:tabs>
          <w:tab w:val="clear" w:pos="709"/>
        </w:tabs>
        <w:suppressAutoHyphens w:val="0"/>
        <w:spacing w:after="128" w:line="490" w:lineRule="exact"/>
        <w:ind w:right="2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 xml:space="preserve"> Для оценки степени тяжести эндотелиального сосудистого повреждения и контроля над обратимостью ДЭ на ранних стадиях ее развития, целесообразно определение эндотелийзависимой вазодилатации плечевой артерии у больных СД типа 2.</w:t>
      </w:r>
    </w:p>
    <w:p w:rsidR="00795AD7" w:rsidRPr="00795AD7" w:rsidRDefault="00795AD7" w:rsidP="00795AD7">
      <w:pPr>
        <w:numPr>
          <w:ilvl w:val="0"/>
          <w:numId w:val="15"/>
        </w:numPr>
        <w:tabs>
          <w:tab w:val="clear" w:pos="709"/>
        </w:tabs>
        <w:suppressAutoHyphens w:val="0"/>
        <w:spacing w:after="120" w:line="480" w:lineRule="exact"/>
        <w:ind w:right="2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 xml:space="preserve"> В состав комплексной терапии больным СД типа 2, для профилактики сосудистых осложнений, желательно включение препаратов, нормализующих сосудодвигательную функцию эндотелия.</w:t>
      </w:r>
    </w:p>
    <w:p w:rsidR="00795AD7" w:rsidRPr="00795AD7" w:rsidRDefault="00795AD7" w:rsidP="00795AD7">
      <w:pPr>
        <w:numPr>
          <w:ilvl w:val="0"/>
          <w:numId w:val="15"/>
        </w:numPr>
        <w:tabs>
          <w:tab w:val="clear" w:pos="709"/>
        </w:tabs>
        <w:suppressAutoHyphens w:val="0"/>
        <w:spacing w:after="116" w:line="480" w:lineRule="exact"/>
        <w:ind w:right="2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 xml:space="preserve"> Возможным показанием к началу терапии, направленной на улучшение функции эндотелия, можно считать возраст старше 40 лет, уровень общего холестерина &gt; 5,5 ммоль/л, гликемии натощак - &gt; 6,2 ммоль/л, систолического артериального давления - соответствующий I степени АГ.</w:t>
      </w:r>
    </w:p>
    <w:p w:rsidR="00795AD7" w:rsidRPr="00795AD7" w:rsidRDefault="00795AD7" w:rsidP="00795AD7">
      <w:pPr>
        <w:numPr>
          <w:ilvl w:val="0"/>
          <w:numId w:val="15"/>
        </w:numPr>
        <w:tabs>
          <w:tab w:val="clear" w:pos="709"/>
        </w:tabs>
        <w:suppressAutoHyphens w:val="0"/>
        <w:spacing w:after="0" w:line="485" w:lineRule="exact"/>
        <w:ind w:right="2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 xml:space="preserve"> Наличие микроальбуминурии, а тем более протеинурии при диабетической нефропатии, следует расценивать как одно из показаний к назначению препаратов, улучшающих функцию эндотелия у больных СД типа 2.</w:t>
      </w:r>
    </w:p>
    <w:p w:rsidR="00795AD7" w:rsidRPr="00795AD7" w:rsidRDefault="00795AD7" w:rsidP="00795AD7">
      <w:pPr>
        <w:tabs>
          <w:tab w:val="clear" w:pos="709"/>
        </w:tabs>
        <w:suppressAutoHyphens w:val="0"/>
        <w:spacing w:after="126" w:line="280" w:lineRule="exact"/>
        <w:ind w:left="3380" w:firstLine="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СПИСОК ЛИТЕРАТУРЫ</w:t>
      </w:r>
    </w:p>
    <w:p w:rsidR="00795AD7" w:rsidRPr="00795AD7" w:rsidRDefault="00795AD7" w:rsidP="00795AD7">
      <w:pPr>
        <w:numPr>
          <w:ilvl w:val="0"/>
          <w:numId w:val="16"/>
        </w:numPr>
        <w:tabs>
          <w:tab w:val="clear" w:pos="709"/>
        </w:tabs>
        <w:suppressAutoHyphens w:val="0"/>
        <w:spacing w:after="0" w:line="480" w:lineRule="exact"/>
        <w:ind w:right="2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 xml:space="preserve"> Алмазов В.А., Беркович О.А., Ситникова М.Ю. с соавт. Эндотелиальная дисфункция у больных с дебютом ишемической болезни сердца в раннем возрасте. // Кардиология. - 2001. - № 5. - С.26-29.</w:t>
      </w:r>
    </w:p>
    <w:p w:rsidR="00795AD7" w:rsidRPr="00795AD7" w:rsidRDefault="00795AD7" w:rsidP="00795AD7">
      <w:pPr>
        <w:numPr>
          <w:ilvl w:val="0"/>
          <w:numId w:val="16"/>
        </w:numPr>
        <w:tabs>
          <w:tab w:val="clear" w:pos="709"/>
          <w:tab w:val="left" w:pos="1371"/>
        </w:tabs>
        <w:suppressAutoHyphens w:val="0"/>
        <w:spacing w:after="0" w:line="480" w:lineRule="exact"/>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 xml:space="preserve">Алмазов В.А., </w:t>
      </w:r>
      <w:r w:rsidRPr="00795AD7">
        <w:rPr>
          <w:rFonts w:ascii="Times New Roman" w:eastAsia="Times New Roman" w:hAnsi="Times New Roman" w:cs="Times New Roman"/>
          <w:b/>
          <w:bCs/>
          <w:color w:val="000000"/>
          <w:kern w:val="0"/>
          <w:sz w:val="28"/>
          <w:szCs w:val="28"/>
          <w:shd w:val="clear" w:color="auto" w:fill="FFFFFF"/>
          <w:lang w:val="uk-UA" w:eastAsia="uk-UA" w:bidi="uk-UA"/>
        </w:rPr>
        <w:t xml:space="preserve">Шляхто </w:t>
      </w:r>
      <w:r w:rsidRPr="00795AD7">
        <w:rPr>
          <w:rFonts w:ascii="Times New Roman" w:eastAsia="Times New Roman" w:hAnsi="Times New Roman" w:cs="Times New Roman"/>
          <w:b/>
          <w:bCs/>
          <w:color w:val="000000"/>
          <w:kern w:val="0"/>
          <w:sz w:val="28"/>
          <w:szCs w:val="28"/>
          <w:shd w:val="clear" w:color="auto" w:fill="FFFFFF"/>
          <w:lang w:eastAsia="ru-RU" w:bidi="ru-RU"/>
        </w:rPr>
        <w:t>Е.В. Кардиология для врача общей</w:t>
      </w:r>
    </w:p>
    <w:p w:rsidR="00795AD7" w:rsidRPr="00795AD7" w:rsidRDefault="00795AD7" w:rsidP="00795AD7">
      <w:pPr>
        <w:tabs>
          <w:tab w:val="clear" w:pos="709"/>
          <w:tab w:val="left" w:pos="1381"/>
        </w:tabs>
        <w:suppressAutoHyphens w:val="0"/>
        <w:spacing w:after="0" w:line="480" w:lineRule="exact"/>
        <w:ind w:left="20" w:firstLine="0"/>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практики:</w:t>
      </w:r>
      <w:r w:rsidRPr="00795AD7">
        <w:rPr>
          <w:rFonts w:ascii="Times New Roman" w:eastAsia="Times New Roman" w:hAnsi="Times New Roman" w:cs="Times New Roman"/>
          <w:b/>
          <w:bCs/>
          <w:color w:val="000000"/>
          <w:kern w:val="0"/>
          <w:sz w:val="28"/>
          <w:szCs w:val="28"/>
          <w:shd w:val="clear" w:color="auto" w:fill="FFFFFF"/>
          <w:lang w:eastAsia="ru-RU" w:bidi="ru-RU"/>
        </w:rPr>
        <w:tab/>
        <w:t>Том 1. Гипертоническая болезнь. - СПб.: Издательство</w:t>
      </w:r>
    </w:p>
    <w:p w:rsidR="00795AD7" w:rsidRPr="00795AD7" w:rsidRDefault="00795AD7" w:rsidP="00795AD7">
      <w:pPr>
        <w:tabs>
          <w:tab w:val="clear" w:pos="709"/>
        </w:tabs>
        <w:suppressAutoHyphens w:val="0"/>
        <w:spacing w:after="0" w:line="480" w:lineRule="exact"/>
        <w:ind w:left="20" w:firstLine="0"/>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СПбГМУ, 2001.- 127с.</w:t>
      </w:r>
    </w:p>
    <w:p w:rsidR="00795AD7" w:rsidRPr="00795AD7" w:rsidRDefault="00795AD7" w:rsidP="00795AD7">
      <w:pPr>
        <w:numPr>
          <w:ilvl w:val="0"/>
          <w:numId w:val="16"/>
        </w:numPr>
        <w:tabs>
          <w:tab w:val="clear" w:pos="709"/>
          <w:tab w:val="left" w:pos="1371"/>
        </w:tabs>
        <w:suppressAutoHyphens w:val="0"/>
        <w:spacing w:after="0" w:line="480" w:lineRule="exact"/>
        <w:ind w:right="2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Аминева Н.В., Сальцева М.Т, Занозина О.В., Батюкова О.Г., Боровков Н.Н. Коагуляционные признаки эндотелиального стресса у больных сахарным диабетом типа 2 в сочетании с артериальной гипертензией // Проблемы эндокринологии.-2002.- Т.48, № 9.- С.27-30.</w:t>
      </w:r>
    </w:p>
    <w:p w:rsidR="00795AD7" w:rsidRPr="00795AD7" w:rsidRDefault="00795AD7" w:rsidP="00795AD7">
      <w:pPr>
        <w:numPr>
          <w:ilvl w:val="0"/>
          <w:numId w:val="16"/>
        </w:numPr>
        <w:tabs>
          <w:tab w:val="clear" w:pos="709"/>
          <w:tab w:val="left" w:pos="1371"/>
        </w:tabs>
        <w:suppressAutoHyphens w:val="0"/>
        <w:spacing w:after="0" w:line="480" w:lineRule="exact"/>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Балаболкин М.И. Диабетология. - М.: Медицина, 2000. - 671 с.</w:t>
      </w:r>
    </w:p>
    <w:p w:rsidR="00795AD7" w:rsidRPr="00795AD7" w:rsidRDefault="00795AD7" w:rsidP="00795AD7">
      <w:pPr>
        <w:numPr>
          <w:ilvl w:val="0"/>
          <w:numId w:val="16"/>
        </w:numPr>
        <w:tabs>
          <w:tab w:val="clear" w:pos="709"/>
          <w:tab w:val="left" w:pos="1371"/>
        </w:tabs>
        <w:suppressAutoHyphens w:val="0"/>
        <w:spacing w:after="0" w:line="480" w:lineRule="exact"/>
        <w:ind w:right="2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Балахонова Т.В., Погорелова О.А., Алиджанова Х.Г. и др. Неинвазивное определение функции эндотелия у больных гипертонической болезнью в сочетании с гиперхолестеринемией // Терапевтический архив - 1998. - № 4. - С.15-19.</w:t>
      </w:r>
    </w:p>
    <w:p w:rsidR="00795AD7" w:rsidRPr="00795AD7" w:rsidRDefault="00795AD7" w:rsidP="00795AD7">
      <w:pPr>
        <w:numPr>
          <w:ilvl w:val="0"/>
          <w:numId w:val="16"/>
        </w:numPr>
        <w:tabs>
          <w:tab w:val="clear" w:pos="709"/>
          <w:tab w:val="left" w:pos="1371"/>
        </w:tabs>
        <w:suppressAutoHyphens w:val="0"/>
        <w:spacing w:after="0" w:line="480" w:lineRule="exact"/>
        <w:ind w:right="2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Бокуняева Н.И. и др. Справочник по клиническим лабораторным методам исследования / Под ред. Е.А. Кост издание 2-е испр. и доп. - М.: Медицина, 1975. - 383 с.</w:t>
      </w:r>
    </w:p>
    <w:p w:rsidR="00795AD7" w:rsidRPr="00795AD7" w:rsidRDefault="00795AD7" w:rsidP="00795AD7">
      <w:pPr>
        <w:numPr>
          <w:ilvl w:val="0"/>
          <w:numId w:val="16"/>
        </w:numPr>
        <w:tabs>
          <w:tab w:val="clear" w:pos="709"/>
          <w:tab w:val="left" w:pos="1371"/>
        </w:tabs>
        <w:suppressAutoHyphens w:val="0"/>
        <w:spacing w:after="0" w:line="480" w:lineRule="exact"/>
        <w:ind w:right="20"/>
        <w:jc w:val="left"/>
        <w:rPr>
          <w:rFonts w:ascii="Times New Roman" w:eastAsia="Times New Roman" w:hAnsi="Times New Roman" w:cs="Times New Roman"/>
          <w:b/>
          <w:bCs/>
          <w:kern w:val="0"/>
          <w:sz w:val="28"/>
          <w:szCs w:val="28"/>
          <w:lang w:eastAsia="ru-RU" w:bidi="ru-RU"/>
        </w:rPr>
      </w:pPr>
      <w:r w:rsidRPr="00795AD7">
        <w:rPr>
          <w:rFonts w:ascii="Times New Roman" w:eastAsia="Times New Roman" w:hAnsi="Times New Roman" w:cs="Times New Roman"/>
          <w:b/>
          <w:bCs/>
          <w:color w:val="000000"/>
          <w:kern w:val="0"/>
          <w:sz w:val="28"/>
          <w:szCs w:val="28"/>
          <w:shd w:val="clear" w:color="auto" w:fill="FFFFFF"/>
          <w:lang w:eastAsia="ru-RU" w:bidi="ru-RU"/>
        </w:rPr>
        <w:t xml:space="preserve">Боровиков В.П., Боровиков И.П. </w:t>
      </w:r>
      <w:r w:rsidRPr="00795AD7">
        <w:rPr>
          <w:rFonts w:ascii="Times New Roman" w:eastAsia="Times New Roman" w:hAnsi="Times New Roman" w:cs="Times New Roman"/>
          <w:b/>
          <w:bCs/>
          <w:color w:val="000000"/>
          <w:kern w:val="0"/>
          <w:sz w:val="28"/>
          <w:szCs w:val="28"/>
          <w:shd w:val="clear" w:color="auto" w:fill="FFFFFF"/>
          <w:lang w:val="en-US" w:eastAsia="en-US" w:bidi="en-US"/>
        </w:rPr>
        <w:t>Statistica</w:t>
      </w:r>
      <w:r w:rsidRPr="00795AD7">
        <w:rPr>
          <w:rFonts w:ascii="Times New Roman" w:eastAsia="Times New Roman" w:hAnsi="Times New Roman" w:cs="Times New Roman"/>
          <w:b/>
          <w:bCs/>
          <w:color w:val="000000"/>
          <w:kern w:val="0"/>
          <w:sz w:val="28"/>
          <w:szCs w:val="28"/>
          <w:shd w:val="clear" w:color="auto" w:fill="FFFFFF"/>
          <w:lang w:eastAsia="en-US" w:bidi="en-US"/>
        </w:rPr>
        <w:t xml:space="preserve">. </w:t>
      </w:r>
      <w:r w:rsidRPr="00795AD7">
        <w:rPr>
          <w:rFonts w:ascii="Times New Roman" w:eastAsia="Times New Roman" w:hAnsi="Times New Roman" w:cs="Times New Roman"/>
          <w:b/>
          <w:bCs/>
          <w:color w:val="000000"/>
          <w:kern w:val="0"/>
          <w:sz w:val="28"/>
          <w:szCs w:val="28"/>
          <w:shd w:val="clear" w:color="auto" w:fill="FFFFFF"/>
          <w:lang w:eastAsia="ru-RU" w:bidi="ru-RU"/>
        </w:rPr>
        <w:t xml:space="preserve">Статистический анализ и обработка данных в среде </w:t>
      </w:r>
      <w:r w:rsidRPr="00795AD7">
        <w:rPr>
          <w:rFonts w:ascii="Times New Roman" w:eastAsia="Times New Roman" w:hAnsi="Times New Roman" w:cs="Times New Roman"/>
          <w:b/>
          <w:bCs/>
          <w:color w:val="000000"/>
          <w:kern w:val="0"/>
          <w:sz w:val="28"/>
          <w:szCs w:val="28"/>
          <w:shd w:val="clear" w:color="auto" w:fill="FFFFFF"/>
          <w:lang w:val="en-US" w:eastAsia="en-US" w:bidi="en-US"/>
        </w:rPr>
        <w:t>Windows</w:t>
      </w:r>
      <w:r w:rsidRPr="00795AD7">
        <w:rPr>
          <w:rFonts w:ascii="Times New Roman" w:eastAsia="Times New Roman" w:hAnsi="Times New Roman" w:cs="Times New Roman"/>
          <w:b/>
          <w:bCs/>
          <w:color w:val="000000"/>
          <w:kern w:val="0"/>
          <w:sz w:val="28"/>
          <w:szCs w:val="28"/>
          <w:shd w:val="clear" w:color="auto" w:fill="FFFFFF"/>
          <w:lang w:eastAsia="en-US" w:bidi="en-US"/>
        </w:rPr>
        <w:t xml:space="preserve">. </w:t>
      </w:r>
      <w:r w:rsidRPr="00795AD7">
        <w:rPr>
          <w:rFonts w:ascii="Times New Roman" w:eastAsia="Times New Roman" w:hAnsi="Times New Roman" w:cs="Times New Roman"/>
          <w:b/>
          <w:bCs/>
          <w:color w:val="000000"/>
          <w:kern w:val="0"/>
          <w:sz w:val="28"/>
          <w:szCs w:val="28"/>
          <w:shd w:val="clear" w:color="auto" w:fill="FFFFFF"/>
          <w:lang w:eastAsia="ru-RU" w:bidi="ru-RU"/>
        </w:rPr>
        <w:t>— М.: Информационно издательский дом «Филин». 1997. - 608 с.</w:t>
      </w:r>
    </w:p>
    <w:p w:rsidR="00795AD7" w:rsidRPr="00795AD7" w:rsidRDefault="00795AD7" w:rsidP="00795AD7">
      <w:pPr>
        <w:rPr>
          <w:lang w:val="en-US"/>
        </w:rPr>
      </w:pPr>
    </w:p>
    <w:sectPr w:rsidR="00795AD7" w:rsidRPr="00795AD7"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034" w:rsidRDefault="001E3034">
      <w:pPr>
        <w:spacing w:after="0" w:line="240" w:lineRule="auto"/>
      </w:pPr>
      <w:r>
        <w:separator/>
      </w:r>
    </w:p>
  </w:endnote>
  <w:endnote w:type="continuationSeparator" w:id="0">
    <w:p w:rsidR="001E3034" w:rsidRDefault="001E3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34" w:rsidRDefault="001E3034">
    <w:pPr>
      <w:rPr>
        <w:sz w:val="2"/>
        <w:szCs w:val="2"/>
      </w:rPr>
    </w:pPr>
    <w:r w:rsidRPr="004D1F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3034" w:rsidRDefault="001E3034">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034" w:rsidRDefault="001E3034"/>
    <w:p w:rsidR="001E3034" w:rsidRDefault="001E3034"/>
    <w:p w:rsidR="001E3034" w:rsidRDefault="001E3034"/>
    <w:p w:rsidR="001E3034" w:rsidRDefault="001E3034"/>
    <w:p w:rsidR="001E3034" w:rsidRDefault="001E3034"/>
    <w:p w:rsidR="001E3034" w:rsidRDefault="001E3034"/>
    <w:p w:rsidR="001E3034" w:rsidRDefault="001E3034">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3034" w:rsidRDefault="001E3034">
                  <w:pPr>
                    <w:spacing w:line="240" w:lineRule="auto"/>
                  </w:pPr>
                  <w:fldSimple w:instr=" PAGE \* MERGEFORMAT ">
                    <w:r w:rsidRPr="003176BB">
                      <w:rPr>
                        <w:rStyle w:val="afffff9"/>
                        <w:b w:val="0"/>
                        <w:bCs w:val="0"/>
                        <w:noProof/>
                      </w:rPr>
                      <w:t>9</w:t>
                    </w:r>
                  </w:fldSimple>
                </w:p>
              </w:txbxContent>
            </v:textbox>
            <w10:wrap anchorx="page" anchory="page"/>
          </v:shape>
        </w:pict>
      </w:r>
    </w:p>
    <w:p w:rsidR="001E3034" w:rsidRDefault="001E3034"/>
    <w:p w:rsidR="001E3034" w:rsidRDefault="001E3034"/>
    <w:p w:rsidR="001E3034" w:rsidRDefault="001E3034">
      <w:pPr>
        <w:rPr>
          <w:sz w:val="2"/>
          <w:szCs w:val="2"/>
        </w:rPr>
      </w:pPr>
      <w:r w:rsidRPr="004D1F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3034" w:rsidRDefault="001E3034"/>
              </w:txbxContent>
            </v:textbox>
            <w10:wrap anchorx="page" anchory="page"/>
          </v:shape>
        </w:pict>
      </w:r>
    </w:p>
    <w:p w:rsidR="001E3034" w:rsidRDefault="001E3034"/>
    <w:p w:rsidR="001E3034" w:rsidRDefault="001E3034">
      <w:pPr>
        <w:rPr>
          <w:sz w:val="2"/>
          <w:szCs w:val="2"/>
        </w:rPr>
      </w:pPr>
    </w:p>
    <w:p w:rsidR="001E3034" w:rsidRDefault="001E3034"/>
    <w:p w:rsidR="001E3034" w:rsidRDefault="001E3034">
      <w:pPr>
        <w:spacing w:after="0" w:line="240" w:lineRule="auto"/>
      </w:pPr>
    </w:p>
  </w:footnote>
  <w:footnote w:type="continuationSeparator" w:id="0">
    <w:p w:rsidR="001E3034" w:rsidRDefault="001E30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34" w:rsidRDefault="001E3034">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1E3034" w:rsidRDefault="001E3034"/>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34" w:rsidRDefault="001E3034">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1E3034" w:rsidRDefault="001E3034"/>
            </w:txbxContent>
          </v:textbox>
          <w10:wrap anchorx="page" anchory="page"/>
        </v:shape>
      </w:pict>
    </w:r>
  </w:p>
  <w:p w:rsidR="001E3034" w:rsidRPr="005856C0" w:rsidRDefault="001E303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CA4BBF"/>
    <w:multiLevelType w:val="multilevel"/>
    <w:tmpl w:val="3604A1C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202498"/>
    <w:multiLevelType w:val="multilevel"/>
    <w:tmpl w:val="2D5C6A4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4">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5">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EA21CF0"/>
    <w:multiLevelType w:val="multilevel"/>
    <w:tmpl w:val="DA0472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EAB0F9B"/>
    <w:multiLevelType w:val="multilevel"/>
    <w:tmpl w:val="BECC3F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FF86D30"/>
    <w:multiLevelType w:val="multilevel"/>
    <w:tmpl w:val="2ECE08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199725E"/>
    <w:multiLevelType w:val="multilevel"/>
    <w:tmpl w:val="B33EC1C2"/>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25D5895"/>
    <w:multiLevelType w:val="multilevel"/>
    <w:tmpl w:val="38265E96"/>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9003071"/>
    <w:multiLevelType w:val="multilevel"/>
    <w:tmpl w:val="374A7B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70344A"/>
    <w:multiLevelType w:val="multilevel"/>
    <w:tmpl w:val="548A86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87F140D"/>
    <w:multiLevelType w:val="multilevel"/>
    <w:tmpl w:val="D874860C"/>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AA724DB"/>
    <w:multiLevelType w:val="multilevel"/>
    <w:tmpl w:val="48AC3E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0"/>
  </w:num>
  <w:num w:numId="7">
    <w:abstractNumId w:val="91"/>
  </w:num>
  <w:num w:numId="8">
    <w:abstractNumId w:val="72"/>
  </w:num>
  <w:num w:numId="9">
    <w:abstractNumId w:val="90"/>
  </w:num>
  <w:num w:numId="10">
    <w:abstractNumId w:val="96"/>
  </w:num>
  <w:num w:numId="11">
    <w:abstractNumId w:val="98"/>
  </w:num>
  <w:num w:numId="12">
    <w:abstractNumId w:val="94"/>
  </w:num>
  <w:num w:numId="13">
    <w:abstractNumId w:val="88"/>
  </w:num>
  <w:num w:numId="14">
    <w:abstractNumId w:val="87"/>
  </w:num>
  <w:num w:numId="15">
    <w:abstractNumId w:val="95"/>
  </w:num>
  <w:num w:numId="16">
    <w:abstractNumId w:val="8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4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4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DD6AE-7D64-4677-8033-CD20869E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2967</TotalTime>
  <Pages>15</Pages>
  <Words>2566</Words>
  <Characters>14628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91</cp:revision>
  <cp:lastPrinted>2009-02-06T05:36:00Z</cp:lastPrinted>
  <dcterms:created xsi:type="dcterms:W3CDTF">2020-07-23T19:05:00Z</dcterms:created>
  <dcterms:modified xsi:type="dcterms:W3CDTF">2020-07-27T19:52:00Z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