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8955" w14:textId="77777777" w:rsidR="00721C24" w:rsidRDefault="00721C24" w:rsidP="00721C24">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Чижонков</w:t>
      </w:r>
      <w:proofErr w:type="spellEnd"/>
      <w:r>
        <w:rPr>
          <w:rFonts w:ascii="Helvetica" w:hAnsi="Helvetica" w:cs="Helvetica"/>
          <w:b/>
          <w:bCs w:val="0"/>
          <w:color w:val="222222"/>
          <w:sz w:val="21"/>
          <w:szCs w:val="21"/>
        </w:rPr>
        <w:t>, Евгений Владимирович.</w:t>
      </w:r>
      <w:r>
        <w:rPr>
          <w:rFonts w:ascii="Helvetica" w:hAnsi="Helvetica" w:cs="Helvetica"/>
          <w:color w:val="222222"/>
          <w:sz w:val="21"/>
          <w:szCs w:val="21"/>
        </w:rPr>
        <w:br/>
        <w:t xml:space="preserve">Итерационные методы решения сеточных уравнений с седловым </w:t>
      </w:r>
      <w:proofErr w:type="gramStart"/>
      <w:r>
        <w:rPr>
          <w:rFonts w:ascii="Helvetica" w:hAnsi="Helvetica" w:cs="Helvetica"/>
          <w:color w:val="222222"/>
          <w:sz w:val="21"/>
          <w:szCs w:val="21"/>
        </w:rPr>
        <w:t>оператором :</w:t>
      </w:r>
      <w:proofErr w:type="gramEnd"/>
      <w:r>
        <w:rPr>
          <w:rFonts w:ascii="Helvetica" w:hAnsi="Helvetica" w:cs="Helvetica"/>
          <w:color w:val="222222"/>
          <w:sz w:val="21"/>
          <w:szCs w:val="21"/>
        </w:rPr>
        <w:t xml:space="preserve"> диссертация ... доктора физико-математических наук : 01.01.07. - Москва, 1999. - 261 с.</w:t>
      </w:r>
    </w:p>
    <w:p w14:paraId="729F7437" w14:textId="77777777" w:rsidR="00721C24" w:rsidRDefault="00721C24" w:rsidP="00721C24">
      <w:pPr>
        <w:pStyle w:val="20"/>
        <w:spacing w:before="0" w:after="312"/>
        <w:rPr>
          <w:rFonts w:ascii="Arial" w:hAnsi="Arial" w:cs="Arial"/>
          <w:caps/>
          <w:color w:val="333333"/>
          <w:sz w:val="27"/>
          <w:szCs w:val="27"/>
        </w:rPr>
      </w:pPr>
    </w:p>
    <w:p w14:paraId="6A3A6939" w14:textId="77777777" w:rsidR="00721C24" w:rsidRDefault="00721C24" w:rsidP="00721C24">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Чижонков</w:t>
      </w:r>
      <w:proofErr w:type="spellEnd"/>
      <w:r>
        <w:rPr>
          <w:rFonts w:ascii="Arial" w:hAnsi="Arial" w:cs="Arial"/>
          <w:color w:val="646B71"/>
          <w:sz w:val="18"/>
          <w:szCs w:val="18"/>
        </w:rPr>
        <w:t>, Евгений Владимирович</w:t>
      </w:r>
    </w:p>
    <w:p w14:paraId="5DE3AAA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0217186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0EBB7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сведения и вспомогательные результаты</w:t>
      </w:r>
    </w:p>
    <w:p w14:paraId="0F3AC4F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Краткие сведения о методах релаксации</w:t>
      </w:r>
    </w:p>
    <w:p w14:paraId="5CA2DE1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Общие понятия</w:t>
      </w:r>
    </w:p>
    <w:p w14:paraId="6F2F188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Метод Якоби</w:t>
      </w:r>
    </w:p>
    <w:p w14:paraId="7CCDF79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Метод SOR</w:t>
      </w:r>
    </w:p>
    <w:p w14:paraId="04A1684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 SSOR</w:t>
      </w:r>
    </w:p>
    <w:p w14:paraId="3F2B2E36"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Задачи, приводящие к системе сеточных уравнений с седловым оператором</w:t>
      </w:r>
    </w:p>
    <w:p w14:paraId="7698981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Обобщенная задача Стокса</w:t>
      </w:r>
    </w:p>
    <w:p w14:paraId="570FBFB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Уравнения Ламе в теории упругости и слабо-сжимаемая жидкость</w:t>
      </w:r>
    </w:p>
    <w:p w14:paraId="12399D3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Смешанный подход при решении эллиптических уравнений</w:t>
      </w:r>
    </w:p>
    <w:p w14:paraId="47518F3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1.2.4 </w:t>
      </w:r>
      <w:proofErr w:type="spellStart"/>
      <w:r>
        <w:rPr>
          <w:rFonts w:ascii="Arial" w:hAnsi="Arial" w:cs="Arial"/>
          <w:color w:val="333333"/>
          <w:sz w:val="21"/>
          <w:szCs w:val="21"/>
        </w:rPr>
        <w:t>inf</w:t>
      </w:r>
      <w:proofErr w:type="spellEnd"/>
      <w:r>
        <w:rPr>
          <w:rFonts w:ascii="Arial" w:hAnsi="Arial" w:cs="Arial"/>
          <w:color w:val="333333"/>
          <w:sz w:val="21"/>
          <w:szCs w:val="21"/>
        </w:rPr>
        <w:t xml:space="preserve"> - </w:t>
      </w:r>
      <w:proofErr w:type="spellStart"/>
      <w:r>
        <w:rPr>
          <w:rFonts w:ascii="Arial" w:hAnsi="Arial" w:cs="Arial"/>
          <w:color w:val="333333"/>
          <w:sz w:val="21"/>
          <w:szCs w:val="21"/>
        </w:rPr>
        <w:t>sup</w:t>
      </w:r>
      <w:proofErr w:type="spellEnd"/>
      <w:r>
        <w:rPr>
          <w:rFonts w:ascii="Arial" w:hAnsi="Arial" w:cs="Arial"/>
          <w:color w:val="333333"/>
          <w:sz w:val="21"/>
          <w:szCs w:val="21"/>
        </w:rPr>
        <w:t xml:space="preserve"> условие</w:t>
      </w:r>
    </w:p>
    <w:p w14:paraId="1EEF0B7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Вспомогательные утверждения</w:t>
      </w:r>
    </w:p>
    <w:p w14:paraId="5397A4B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Две задачи на собственные значения</w:t>
      </w:r>
    </w:p>
    <w:p w14:paraId="7B966A6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Базис специального вида из собственных векторов</w:t>
      </w:r>
    </w:p>
    <w:p w14:paraId="547BCEA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Резюме</w:t>
      </w:r>
    </w:p>
    <w:p w14:paraId="2CB4889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Модифицированные методы релаксации для </w:t>
      </w:r>
      <w:proofErr w:type="spellStart"/>
      <w:r>
        <w:rPr>
          <w:rFonts w:ascii="Arial" w:hAnsi="Arial" w:cs="Arial"/>
          <w:color w:val="333333"/>
          <w:sz w:val="21"/>
          <w:szCs w:val="21"/>
        </w:rPr>
        <w:t>систе</w:t>
      </w:r>
      <w:proofErr w:type="spellEnd"/>
      <w:r>
        <w:rPr>
          <w:rFonts w:ascii="Arial" w:hAnsi="Arial" w:cs="Arial"/>
          <w:color w:val="333333"/>
          <w:sz w:val="21"/>
          <w:szCs w:val="21"/>
        </w:rPr>
        <w:t>-</w:t>
      </w:r>
    </w:p>
    <w:p w14:paraId="24E9804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мы уравнений типа Стокса</w:t>
      </w:r>
    </w:p>
    <w:p w14:paraId="2CEAA85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Модифицированный метод Якоби (MJOR)</w:t>
      </w:r>
    </w:p>
    <w:p w14:paraId="4149D4B2"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Построение метода</w:t>
      </w:r>
    </w:p>
    <w:p w14:paraId="4871937F"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Спектр оператора перехода</w:t>
      </w:r>
    </w:p>
    <w:p w14:paraId="4834390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Необходимое и достаточное условие сходимости</w:t>
      </w:r>
    </w:p>
    <w:p w14:paraId="167C2C0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Задача асимптотической оптимизации</w:t>
      </w:r>
    </w:p>
    <w:p w14:paraId="34B2507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Модифицированный метод SOR (MSOR)</w:t>
      </w:r>
    </w:p>
    <w:p w14:paraId="37C53D4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Построение метода</w:t>
      </w:r>
    </w:p>
    <w:p w14:paraId="24CD473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Спектр оператора перехода</w:t>
      </w:r>
    </w:p>
    <w:p w14:paraId="7231716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Необходимое и достаточное условие сходимости</w:t>
      </w:r>
    </w:p>
    <w:p w14:paraId="6DD767C2"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Задача асимптотической оптимизации</w:t>
      </w:r>
    </w:p>
    <w:p w14:paraId="7BB46F4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Модифицированный метод SSOR (MSSOR)</w:t>
      </w:r>
    </w:p>
    <w:p w14:paraId="541E66C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Построение метода</w:t>
      </w:r>
    </w:p>
    <w:p w14:paraId="2D5A256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Спектр оператора перехода</w:t>
      </w:r>
    </w:p>
    <w:p w14:paraId="765AC2D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Необходимое и достаточное условие сходимости</w:t>
      </w:r>
    </w:p>
    <w:p w14:paraId="12F11F0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2.3.4 Задача асимптотической оптимизации</w:t>
      </w:r>
    </w:p>
    <w:p w14:paraId="473F10B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Трехпараметрический метод типа SOR (3MSOR)</w:t>
      </w:r>
    </w:p>
    <w:p w14:paraId="59708AB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Построение метода</w:t>
      </w:r>
    </w:p>
    <w:p w14:paraId="4D86EA6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Спектр оператора перехода</w:t>
      </w:r>
    </w:p>
    <w:p w14:paraId="4BDB02F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Задача асимптотической оптимизации</w:t>
      </w:r>
    </w:p>
    <w:p w14:paraId="2C0D117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Частный случай— {¡</w:t>
      </w:r>
      <w:proofErr w:type="gramStart"/>
      <w:r>
        <w:rPr>
          <w:rFonts w:ascii="Arial" w:hAnsi="Arial" w:cs="Arial"/>
          <w:color w:val="333333"/>
          <w:sz w:val="21"/>
          <w:szCs w:val="21"/>
        </w:rPr>
        <w:t>3,т</w:t>
      </w:r>
      <w:proofErr w:type="gramEnd"/>
      <w:r>
        <w:rPr>
          <w:rFonts w:ascii="Arial" w:hAnsi="Arial" w:cs="Arial"/>
          <w:color w:val="333333"/>
          <w:sz w:val="21"/>
          <w:szCs w:val="21"/>
        </w:rPr>
        <w:t>) - метод</w:t>
      </w:r>
    </w:p>
    <w:p w14:paraId="0C63353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Резюме</w:t>
      </w:r>
    </w:p>
    <w:p w14:paraId="54FCF03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Оценки погрешности для методов MJOR и MSOR</w:t>
      </w:r>
    </w:p>
    <w:p w14:paraId="06987681"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Оценки погрешности из общей теории итерационных</w:t>
      </w:r>
    </w:p>
    <w:p w14:paraId="2206E46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методов</w:t>
      </w:r>
    </w:p>
    <w:p w14:paraId="7D74ACA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Оптимальный одношаговый метод</w:t>
      </w:r>
    </w:p>
    <w:p w14:paraId="000FE10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3.1.2 Метод Ричардсона с </w:t>
      </w:r>
      <w:proofErr w:type="spellStart"/>
      <w:r>
        <w:rPr>
          <w:rFonts w:ascii="Arial" w:hAnsi="Arial" w:cs="Arial"/>
          <w:color w:val="333333"/>
          <w:sz w:val="21"/>
          <w:szCs w:val="21"/>
        </w:rPr>
        <w:t>чебьппевскими</w:t>
      </w:r>
      <w:proofErr w:type="spellEnd"/>
      <w:r>
        <w:rPr>
          <w:rFonts w:ascii="Arial" w:hAnsi="Arial" w:cs="Arial"/>
          <w:color w:val="333333"/>
          <w:sz w:val="21"/>
          <w:szCs w:val="21"/>
        </w:rPr>
        <w:t xml:space="preserve"> параметрами</w:t>
      </w:r>
    </w:p>
    <w:p w14:paraId="7C388E1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3.1.3 </w:t>
      </w:r>
      <w:proofErr w:type="spellStart"/>
      <w:r>
        <w:rPr>
          <w:rFonts w:ascii="Arial" w:hAnsi="Arial" w:cs="Arial"/>
          <w:color w:val="333333"/>
          <w:sz w:val="21"/>
          <w:szCs w:val="21"/>
        </w:rPr>
        <w:t>Полуитерационный</w:t>
      </w:r>
      <w:proofErr w:type="spellEnd"/>
      <w:r>
        <w:rPr>
          <w:rFonts w:ascii="Arial" w:hAnsi="Arial" w:cs="Arial"/>
          <w:color w:val="333333"/>
          <w:sz w:val="21"/>
          <w:szCs w:val="21"/>
        </w:rPr>
        <w:t xml:space="preserve"> метод Чебышева</w:t>
      </w:r>
    </w:p>
    <w:p w14:paraId="20B05D01"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Стационарный трехслойный метод</w:t>
      </w:r>
    </w:p>
    <w:p w14:paraId="28ECC3A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3.1.5 Методы сопряженных направлений</w:t>
      </w:r>
    </w:p>
    <w:p w14:paraId="1E1AEB2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Оценка погрешности для метода MJOR</w:t>
      </w:r>
    </w:p>
    <w:p w14:paraId="09BB4EC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Преобразование формул</w:t>
      </w:r>
    </w:p>
    <w:p w14:paraId="71CA9A9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Начальное приближение</w:t>
      </w:r>
    </w:p>
    <w:p w14:paraId="049A3CD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Оценка погрешности</w:t>
      </w:r>
    </w:p>
    <w:p w14:paraId="2C1D132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Оценка погрешности для метода MSOR с постоянными параметрами</w:t>
      </w:r>
    </w:p>
    <w:p w14:paraId="727442C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Преобразование формул</w:t>
      </w:r>
    </w:p>
    <w:p w14:paraId="7132284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Начальное приближение</w:t>
      </w:r>
    </w:p>
    <w:p w14:paraId="2C3F115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Полином ошибки</w:t>
      </w:r>
    </w:p>
    <w:p w14:paraId="0A8A0F3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Оценка погрешности</w:t>
      </w:r>
    </w:p>
    <w:p w14:paraId="6D75FF6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Оценки погрешности для метода MSOR с переменными параметрами</w:t>
      </w:r>
    </w:p>
    <w:p w14:paraId="62D2FCA2"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Преобразование формул</w:t>
      </w:r>
    </w:p>
    <w:p w14:paraId="5332CF4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3.4.2 Оценка погрешности для р типа метода Ричардсона</w:t>
      </w:r>
    </w:p>
    <w:p w14:paraId="5F47D83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Наилучшая оценка погрешности для р</w:t>
      </w:r>
    </w:p>
    <w:p w14:paraId="623EEA5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3.4.4 Наилучшая оценка погрешности для и</w:t>
      </w:r>
    </w:p>
    <w:p w14:paraId="22B0A0B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Резюме</w:t>
      </w:r>
    </w:p>
    <w:p w14:paraId="6D132EA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Методы типа MSOR для системы уравнений с параметром</w:t>
      </w:r>
    </w:p>
    <w:p w14:paraId="13F28FA6"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Явный метод MSOR (</w:t>
      </w:r>
      <w:proofErr w:type="spellStart"/>
      <w:r>
        <w:rPr>
          <w:rFonts w:ascii="Arial" w:hAnsi="Arial" w:cs="Arial"/>
          <w:color w:val="333333"/>
          <w:sz w:val="21"/>
          <w:szCs w:val="21"/>
        </w:rPr>
        <w:t>MSORe</w:t>
      </w:r>
      <w:proofErr w:type="spellEnd"/>
      <w:r>
        <w:rPr>
          <w:rFonts w:ascii="Arial" w:hAnsi="Arial" w:cs="Arial"/>
          <w:color w:val="333333"/>
          <w:sz w:val="21"/>
          <w:szCs w:val="21"/>
        </w:rPr>
        <w:t>)</w:t>
      </w:r>
    </w:p>
    <w:p w14:paraId="5B7D7CE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Построение метода</w:t>
      </w:r>
    </w:p>
    <w:p w14:paraId="782D096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Спектр оператора перехода</w:t>
      </w:r>
    </w:p>
    <w:p w14:paraId="72CE6E56"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4.1.3 Необходимое и достаточное условие сходимости</w:t>
      </w:r>
    </w:p>
    <w:p w14:paraId="746BC2D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4.1.4 Задача асимптотической оптимизации</w:t>
      </w:r>
    </w:p>
    <w:p w14:paraId="651DA33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Неявный метод MSOR (</w:t>
      </w:r>
      <w:proofErr w:type="spellStart"/>
      <w:r>
        <w:rPr>
          <w:rFonts w:ascii="Arial" w:hAnsi="Arial" w:cs="Arial"/>
          <w:color w:val="333333"/>
          <w:sz w:val="21"/>
          <w:szCs w:val="21"/>
        </w:rPr>
        <w:t>iMSORe</w:t>
      </w:r>
      <w:proofErr w:type="spellEnd"/>
      <w:r>
        <w:rPr>
          <w:rFonts w:ascii="Arial" w:hAnsi="Arial" w:cs="Arial"/>
          <w:color w:val="333333"/>
          <w:sz w:val="21"/>
          <w:szCs w:val="21"/>
        </w:rPr>
        <w:t>)</w:t>
      </w:r>
    </w:p>
    <w:p w14:paraId="3D0B665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Построение метода</w:t>
      </w:r>
    </w:p>
    <w:p w14:paraId="7962375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Спектр оператора перехода</w:t>
      </w:r>
    </w:p>
    <w:p w14:paraId="47F25B6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Необходимое и достаточное условие сходимости</w:t>
      </w:r>
    </w:p>
    <w:p w14:paraId="37AA3572"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4.2.4 Задача асимптотической оптимизации</w:t>
      </w:r>
    </w:p>
    <w:p w14:paraId="17D12FE2"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Резюме</w:t>
      </w:r>
    </w:p>
    <w:p w14:paraId="4F269FE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 Оценки погрешности для метода </w:t>
      </w:r>
      <w:proofErr w:type="spellStart"/>
      <w:r>
        <w:rPr>
          <w:rFonts w:ascii="Arial" w:hAnsi="Arial" w:cs="Arial"/>
          <w:color w:val="333333"/>
          <w:sz w:val="21"/>
          <w:szCs w:val="21"/>
        </w:rPr>
        <w:t>MSORe</w:t>
      </w:r>
      <w:proofErr w:type="spellEnd"/>
    </w:p>
    <w:p w14:paraId="17D25B7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5.1 Оценка погрешности для метода </w:t>
      </w:r>
      <w:proofErr w:type="spellStart"/>
      <w:r>
        <w:rPr>
          <w:rFonts w:ascii="Arial" w:hAnsi="Arial" w:cs="Arial"/>
          <w:color w:val="333333"/>
          <w:sz w:val="21"/>
          <w:szCs w:val="21"/>
        </w:rPr>
        <w:t>MSORe</w:t>
      </w:r>
      <w:proofErr w:type="spellEnd"/>
      <w:r>
        <w:rPr>
          <w:rFonts w:ascii="Arial" w:hAnsi="Arial" w:cs="Arial"/>
          <w:color w:val="333333"/>
          <w:sz w:val="21"/>
          <w:szCs w:val="21"/>
        </w:rPr>
        <w:t xml:space="preserve"> с постоянными параметрами</w:t>
      </w:r>
    </w:p>
    <w:p w14:paraId="7C0B63D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5.1.1 Преобразование формул</w:t>
      </w:r>
    </w:p>
    <w:p w14:paraId="5C02A5E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5.1.2 Начальное приближение</w:t>
      </w:r>
    </w:p>
    <w:p w14:paraId="6CA40EC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5.1.3 Полином ошибки</w:t>
      </w:r>
    </w:p>
    <w:p w14:paraId="6CD88D8F"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5.1.4 Оценка погрешности</w:t>
      </w:r>
    </w:p>
    <w:p w14:paraId="4ABBA50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5.2 Оценки погрешности для метода </w:t>
      </w:r>
      <w:proofErr w:type="spellStart"/>
      <w:r>
        <w:rPr>
          <w:rFonts w:ascii="Arial" w:hAnsi="Arial" w:cs="Arial"/>
          <w:color w:val="333333"/>
          <w:sz w:val="21"/>
          <w:szCs w:val="21"/>
        </w:rPr>
        <w:t>MSORe</w:t>
      </w:r>
      <w:proofErr w:type="spellEnd"/>
      <w:r>
        <w:rPr>
          <w:rFonts w:ascii="Arial" w:hAnsi="Arial" w:cs="Arial"/>
          <w:color w:val="333333"/>
          <w:sz w:val="21"/>
          <w:szCs w:val="21"/>
        </w:rPr>
        <w:t xml:space="preserve"> с переменными параметрами</w:t>
      </w:r>
    </w:p>
    <w:p w14:paraId="1BB7D88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5.2.1 Преобразование формул</w:t>
      </w:r>
    </w:p>
    <w:p w14:paraId="76FAE06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5.2.2 Оценка погрешности для р типа метода Ричардсона</w:t>
      </w:r>
    </w:p>
    <w:p w14:paraId="11809B9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5.2.3 Наилучшая оценка погрешности для р</w:t>
      </w:r>
    </w:p>
    <w:p w14:paraId="0DDD387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5.2.4 Наилучшая оценка погрешности для и</w:t>
      </w:r>
    </w:p>
    <w:p w14:paraId="7ACCBDF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Резюме</w:t>
      </w:r>
    </w:p>
    <w:p w14:paraId="1BA0B38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6 Оптимизация в методах </w:t>
      </w:r>
      <w:proofErr w:type="spellStart"/>
      <w:r>
        <w:rPr>
          <w:rFonts w:ascii="Arial" w:hAnsi="Arial" w:cs="Arial"/>
          <w:color w:val="333333"/>
          <w:sz w:val="21"/>
          <w:szCs w:val="21"/>
        </w:rPr>
        <w:t>симметризации</w:t>
      </w:r>
      <w:proofErr w:type="spellEnd"/>
      <w:r>
        <w:rPr>
          <w:rFonts w:ascii="Arial" w:hAnsi="Arial" w:cs="Arial"/>
          <w:color w:val="333333"/>
          <w:sz w:val="21"/>
          <w:szCs w:val="21"/>
        </w:rPr>
        <w:t xml:space="preserve"> с </w:t>
      </w:r>
      <w:proofErr w:type="spellStart"/>
      <w:r>
        <w:rPr>
          <w:rFonts w:ascii="Arial" w:hAnsi="Arial" w:cs="Arial"/>
          <w:color w:val="333333"/>
          <w:sz w:val="21"/>
          <w:szCs w:val="21"/>
        </w:rPr>
        <w:t>предобу-словливанием</w:t>
      </w:r>
      <w:proofErr w:type="spellEnd"/>
    </w:p>
    <w:p w14:paraId="7F14133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Оптимизация для системы уравнений типа Стокса</w:t>
      </w:r>
    </w:p>
    <w:p w14:paraId="40310DC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6.1.1 Спектр равносильной задачи</w:t>
      </w:r>
    </w:p>
    <w:p w14:paraId="34EA502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6.1.2 Минимизация числа обусловленности</w:t>
      </w:r>
    </w:p>
    <w:p w14:paraId="1C11BF3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6.1.3 Наилучшая оценка погрешности</w:t>
      </w:r>
    </w:p>
    <w:p w14:paraId="6FE23D2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Оптимизация для системы уравнений с параметром</w:t>
      </w:r>
    </w:p>
    <w:p w14:paraId="55520C7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6.2.1 Спектр равносильной задачи</w:t>
      </w:r>
    </w:p>
    <w:p w14:paraId="47B5FE2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6.2.2 Минимизация числа обусловленности</w:t>
      </w:r>
    </w:p>
    <w:p w14:paraId="2BE35FA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6.2.3 Наилучшая оценка погрешности</w:t>
      </w:r>
    </w:p>
    <w:p w14:paraId="4CDA5D51"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Оптимизация для системы, равносильной системе типа Стокса</w:t>
      </w:r>
    </w:p>
    <w:p w14:paraId="703AD4B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6.3.1 Спектр равносильной задачи</w:t>
      </w:r>
    </w:p>
    <w:p w14:paraId="1BFFB76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6.3.2 Минимизация числа обусловленности</w:t>
      </w:r>
    </w:p>
    <w:p w14:paraId="3C2C413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6.3.3 Наилучшая оценка погрешности</w:t>
      </w:r>
    </w:p>
    <w:p w14:paraId="08CF91F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Резюме</w:t>
      </w:r>
    </w:p>
    <w:p w14:paraId="1E1E5053"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Оценки нижней границы спектра для оператора давления, ассоциированного с задачей Стокса</w:t>
      </w:r>
    </w:p>
    <w:p w14:paraId="0BFC331B"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Область прямоугольной формы</w:t>
      </w:r>
    </w:p>
    <w:p w14:paraId="65415A1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Оценка сверху</w:t>
      </w:r>
    </w:p>
    <w:p w14:paraId="17290E0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Оценка снизу</w:t>
      </w:r>
    </w:p>
    <w:p w14:paraId="1D0CD45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1.1.3 Основной результат</w:t>
      </w:r>
    </w:p>
    <w:p w14:paraId="103A588F"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Область типа многоугольника</w:t>
      </w:r>
    </w:p>
    <w:p w14:paraId="296428B6"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Сингулярность собственных функций</w:t>
      </w:r>
    </w:p>
    <w:p w14:paraId="027AA1E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Основной результат</w:t>
      </w:r>
    </w:p>
    <w:p w14:paraId="35A15E2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Область кольцевой формы</w:t>
      </w:r>
    </w:p>
    <w:p w14:paraId="0AA5CC1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Асимптотический анализ</w:t>
      </w:r>
    </w:p>
    <w:p w14:paraId="1593A1F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Область типа кольцевой трубы</w:t>
      </w:r>
    </w:p>
    <w:p w14:paraId="5BB95420"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Асимптотический анализ</w:t>
      </w:r>
    </w:p>
    <w:p w14:paraId="6FDD2FD5"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Резюме</w:t>
      </w:r>
    </w:p>
    <w:p w14:paraId="1380E0E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Численное исследование нижней границы спектра для оператора давления в областях прямоугольной</w:t>
      </w:r>
    </w:p>
    <w:p w14:paraId="52411F17"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формы</w:t>
      </w:r>
    </w:p>
    <w:p w14:paraId="2752840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II. 1 MAC - схемы для первой краевой задачи Стокса</w:t>
      </w:r>
    </w:p>
    <w:p w14:paraId="239FF61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11.1.1 Вычислительные аспекты</w:t>
      </w:r>
    </w:p>
    <w:p w14:paraId="4AB1436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11.1.2 Схема 1</w:t>
      </w:r>
    </w:p>
    <w:p w14:paraId="0D74695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И.1.3 Схема 2</w:t>
      </w:r>
    </w:p>
    <w:p w14:paraId="45FAFA8A"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11.1.4 Схема 3</w:t>
      </w:r>
    </w:p>
    <w:p w14:paraId="486A4D3C"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11.1.5 Результаты расчетов</w:t>
      </w:r>
    </w:p>
    <w:p w14:paraId="3121CD1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МКЭ - схемы для первой краевой задачи Стокса</w:t>
      </w:r>
    </w:p>
    <w:p w14:paraId="78C6B4F6"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11.2.2 Схема 5</w:t>
      </w:r>
    </w:p>
    <w:p w14:paraId="7A1942FD"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11.2.3 Результаты расчетов</w:t>
      </w:r>
    </w:p>
    <w:p w14:paraId="362BED68"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Интегральное уравнение</w:t>
      </w:r>
    </w:p>
    <w:p w14:paraId="4E3F6E3F"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11.3.1 Вывод уравнения</w:t>
      </w:r>
    </w:p>
    <w:p w14:paraId="72753AF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11.3.2 Построение формулы Грина</w:t>
      </w:r>
    </w:p>
    <w:p w14:paraId="16639B34"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11.3.3 Метод решения и результаты расчетов</w:t>
      </w:r>
    </w:p>
    <w:p w14:paraId="0645D769"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Резюме</w:t>
      </w:r>
    </w:p>
    <w:p w14:paraId="40658F7E" w14:textId="77777777" w:rsidR="00721C24" w:rsidRDefault="00721C24" w:rsidP="00721C2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54F2B699" w14:textId="0B6A49C2" w:rsidR="00F505A7" w:rsidRPr="00721C24" w:rsidRDefault="00F505A7" w:rsidP="00721C24"/>
    <w:sectPr w:rsidR="00F505A7" w:rsidRPr="00721C2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3A65" w14:textId="77777777" w:rsidR="00751157" w:rsidRDefault="00751157">
      <w:pPr>
        <w:spacing w:after="0" w:line="240" w:lineRule="auto"/>
      </w:pPr>
      <w:r>
        <w:separator/>
      </w:r>
    </w:p>
  </w:endnote>
  <w:endnote w:type="continuationSeparator" w:id="0">
    <w:p w14:paraId="0A5ADC2A" w14:textId="77777777" w:rsidR="00751157" w:rsidRDefault="0075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43A7" w14:textId="77777777" w:rsidR="00751157" w:rsidRDefault="00751157"/>
    <w:p w14:paraId="4DF02752" w14:textId="77777777" w:rsidR="00751157" w:rsidRDefault="00751157"/>
    <w:p w14:paraId="112163D6" w14:textId="77777777" w:rsidR="00751157" w:rsidRDefault="00751157"/>
    <w:p w14:paraId="48FFC390" w14:textId="77777777" w:rsidR="00751157" w:rsidRDefault="00751157"/>
    <w:p w14:paraId="16FE3558" w14:textId="77777777" w:rsidR="00751157" w:rsidRDefault="00751157"/>
    <w:p w14:paraId="31513621" w14:textId="77777777" w:rsidR="00751157" w:rsidRDefault="00751157"/>
    <w:p w14:paraId="13965C91" w14:textId="77777777" w:rsidR="00751157" w:rsidRDefault="007511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675089" wp14:editId="618981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E2F3" w14:textId="77777777" w:rsidR="00751157" w:rsidRDefault="00751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6750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188E2F3" w14:textId="77777777" w:rsidR="00751157" w:rsidRDefault="007511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69F295" w14:textId="77777777" w:rsidR="00751157" w:rsidRDefault="00751157"/>
    <w:p w14:paraId="1D8BF1AF" w14:textId="77777777" w:rsidR="00751157" w:rsidRDefault="00751157"/>
    <w:p w14:paraId="1CC378DB" w14:textId="77777777" w:rsidR="00751157" w:rsidRDefault="007511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2864B3" wp14:editId="6FAC21D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8CDA6" w14:textId="77777777" w:rsidR="00751157" w:rsidRDefault="00751157"/>
                          <w:p w14:paraId="4E6622E2" w14:textId="77777777" w:rsidR="00751157" w:rsidRDefault="00751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2864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28CDA6" w14:textId="77777777" w:rsidR="00751157" w:rsidRDefault="00751157"/>
                    <w:p w14:paraId="4E6622E2" w14:textId="77777777" w:rsidR="00751157" w:rsidRDefault="007511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001878" w14:textId="77777777" w:rsidR="00751157" w:rsidRDefault="00751157"/>
    <w:p w14:paraId="28B75BD5" w14:textId="77777777" w:rsidR="00751157" w:rsidRDefault="00751157">
      <w:pPr>
        <w:rPr>
          <w:sz w:val="2"/>
          <w:szCs w:val="2"/>
        </w:rPr>
      </w:pPr>
    </w:p>
    <w:p w14:paraId="1D4AC29D" w14:textId="77777777" w:rsidR="00751157" w:rsidRDefault="00751157"/>
    <w:p w14:paraId="5818B868" w14:textId="77777777" w:rsidR="00751157" w:rsidRDefault="00751157">
      <w:pPr>
        <w:spacing w:after="0" w:line="240" w:lineRule="auto"/>
      </w:pPr>
    </w:p>
  </w:footnote>
  <w:footnote w:type="continuationSeparator" w:id="0">
    <w:p w14:paraId="05300105" w14:textId="77777777" w:rsidR="00751157" w:rsidRDefault="0075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57"/>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106195</TotalTime>
  <Pages>7</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1404</cp:revision>
  <cp:lastPrinted>2009-02-06T05:36:00Z</cp:lastPrinted>
  <dcterms:created xsi:type="dcterms:W3CDTF">2024-01-07T13:43:00Z</dcterms:created>
  <dcterms:modified xsi:type="dcterms:W3CDTF">2025-06-04T07:57:00Z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