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F37A"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Семенюк, Ярослав Николаевич.</w:t>
      </w:r>
    </w:p>
    <w:p w14:paraId="25276364"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Экспериментальное исследование неупругих процессов взаимодействия медленных электронов с ионами инертных газов : диссертация ... кандидата физико-математических наук : 01.04.04. - Ужгород, 1985. - 125 с. : ил.</w:t>
      </w:r>
    </w:p>
    <w:p w14:paraId="731CC586"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Оглавление диссертациикандидат физико-математических наук Семенюк, Ярослав Николаевич</w:t>
      </w:r>
    </w:p>
    <w:p w14:paraId="31D2897C"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1. ВВЕДЕНИЕ.</w:t>
      </w:r>
    </w:p>
    <w:p w14:paraId="74F131C9"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2. ОБЗОР РАБОТ ПО ВОЗБУЖДЕНИЮ И ДИЭЛЕКТРОННОЙ РЕКОМБИНАЦИИ ИОНОВ ПРИ ЭЛЕКТРОННО-ИОННЫХ СТОЛКНОВЕНИЯХ</w:t>
      </w:r>
    </w:p>
    <w:p w14:paraId="640FE0C2"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2.1. Возбуждение ионов</w:t>
      </w:r>
    </w:p>
    <w:p w14:paraId="502E4C51"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2.1.1. Ионы щелочноземельных металлов</w:t>
      </w:r>
    </w:p>
    <w:p w14:paraId="1B32911A"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2.1.2. Ионы щелочных металлов</w:t>
      </w:r>
    </w:p>
    <w:p w14:paraId="7DF54578"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2.1.3. Ионы инертных газов</w:t>
      </w:r>
    </w:p>
    <w:p w14:paraId="4577012F"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2.2. Диэлектронная рекомбинация ионов</w:t>
      </w:r>
    </w:p>
    <w:p w14:paraId="017533D5"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2.3. Выводы по главе.</w:t>
      </w:r>
    </w:p>
    <w:p w14:paraId="085217FF"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 АППАРАТУРА И МЕТОДИКА ЭКСПЕРИМЕНТА</w:t>
      </w:r>
    </w:p>
    <w:p w14:paraId="506F4C28"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3.1. Метод пересекающихся пучков и его особенности</w:t>
      </w:r>
    </w:p>
    <w:p w14:paraId="58C97A8D"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3.2. Экспериментальная установка</w:t>
      </w:r>
    </w:p>
    <w:p w14:paraId="446F577A"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3.2.1. Источник ионов</w:t>
      </w:r>
    </w:p>
    <w:p w14:paraId="7E7BBE81"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3.2.2. Масс-спектрометр</w:t>
      </w:r>
    </w:p>
    <w:p w14:paraId="6C485D3C"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3.2.3. Высоковакуумная камера столкновений</w:t>
      </w:r>
    </w:p>
    <w:p w14:paraId="2F2DC919"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3.2.4. Спектральные приборы</w:t>
      </w:r>
    </w:p>
    <w:p w14:paraId="0A889921"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3.2.5. Модуляционная система регистрации излучения</w:t>
      </w:r>
    </w:p>
    <w:p w14:paraId="356740AF"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3.3. Методика исследований</w:t>
      </w:r>
    </w:p>
    <w:p w14:paraId="55294E2B"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3.3.1. Контрольные эксперименты</w:t>
      </w:r>
    </w:p>
    <w:p w14:paraId="2CA8A43C"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3.3.2. Запись спектров и измерение функций возбуждения.</w:t>
      </w:r>
    </w:p>
    <w:p w14:paraId="5CB158C1"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3.3.3. Определение эффективных сечений возбуждения</w:t>
      </w:r>
    </w:p>
    <w:p w14:paraId="1AA6BE7B"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3.3.4. Ошибки измерений</w:t>
      </w:r>
    </w:p>
    <w:p w14:paraId="09E62A69"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4. РЕЗУЛЬТАТЫ И ИХ ОБСУЖДЕНИЕ</w:t>
      </w:r>
    </w:p>
    <w:p w14:paraId="5DF5BAAF"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4.1. Энергетические характеристики ионов инертных газов.</w:t>
      </w:r>
    </w:p>
    <w:p w14:paraId="3707C2C9"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4.2. Возбуждение радиационных переходов с резонансного и высоколежащих уровней не Ц</w:t>
      </w:r>
    </w:p>
    <w:p w14:paraId="3FC8727C"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4.3. Диэлектронная рекомбинация иона Не Л</w:t>
      </w:r>
    </w:p>
    <w:p w14:paraId="07DCD43E"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lastRenderedPageBreak/>
        <w:t>4.4. Возбуждение резонансного излучения и УМР-дуб-летов ионов Ней? днГ и Кг!.^</w:t>
      </w:r>
    </w:p>
    <w:p w14:paraId="3DC71628"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4.4.1. Неон.</w:t>
      </w:r>
    </w:p>
    <w:p w14:paraId="19A9C8E3"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4.4.2. Аргон</w:t>
      </w:r>
    </w:p>
    <w:p w14:paraId="218C6377"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4.4.3. Криптон</w:t>
      </w:r>
    </w:p>
    <w:p w14:paraId="21D08C25"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4.4.4. Абсолютные величины эффективных сечений возбуждения.</w:t>
      </w:r>
    </w:p>
    <w:p w14:paraId="589D3EF5"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4.4.5. Обсуждение результатов</w:t>
      </w:r>
    </w:p>
    <w:p w14:paraId="23851CD7" w14:textId="77777777" w:rsidR="005F01BF" w:rsidRPr="005F01BF" w:rsidRDefault="005F01BF" w:rsidP="005F01BF">
      <w:pPr>
        <w:rPr>
          <w:rFonts w:ascii="Helvetica" w:eastAsia="Symbol" w:hAnsi="Helvetica" w:cs="Helvetica"/>
          <w:b/>
          <w:bCs/>
          <w:color w:val="222222"/>
          <w:kern w:val="0"/>
          <w:sz w:val="21"/>
          <w:szCs w:val="21"/>
          <w:lang w:eastAsia="ru-RU"/>
        </w:rPr>
      </w:pPr>
      <w:r w:rsidRPr="005F01BF">
        <w:rPr>
          <w:rFonts w:ascii="Helvetica" w:eastAsia="Symbol" w:hAnsi="Helvetica" w:cs="Helvetica"/>
          <w:b/>
          <w:bCs/>
          <w:color w:val="222222"/>
          <w:kern w:val="0"/>
          <w:sz w:val="21"/>
          <w:szCs w:val="21"/>
          <w:lang w:eastAsia="ru-RU"/>
        </w:rPr>
        <w:t>ВЫВОДЫ.</w:t>
      </w:r>
    </w:p>
    <w:p w14:paraId="3869883D" w14:textId="60BA7A88" w:rsidR="00F11235" w:rsidRPr="005F01BF" w:rsidRDefault="00F11235" w:rsidP="005F01BF"/>
    <w:sectPr w:rsidR="00F11235" w:rsidRPr="005F01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A26F6" w14:textId="77777777" w:rsidR="00EF366C" w:rsidRDefault="00EF366C">
      <w:pPr>
        <w:spacing w:after="0" w:line="240" w:lineRule="auto"/>
      </w:pPr>
      <w:r>
        <w:separator/>
      </w:r>
    </w:p>
  </w:endnote>
  <w:endnote w:type="continuationSeparator" w:id="0">
    <w:p w14:paraId="34D21C43" w14:textId="77777777" w:rsidR="00EF366C" w:rsidRDefault="00EF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BD57A" w14:textId="77777777" w:rsidR="00EF366C" w:rsidRDefault="00EF366C"/>
    <w:p w14:paraId="5AE9632A" w14:textId="77777777" w:rsidR="00EF366C" w:rsidRDefault="00EF366C"/>
    <w:p w14:paraId="468E24CA" w14:textId="77777777" w:rsidR="00EF366C" w:rsidRDefault="00EF366C"/>
    <w:p w14:paraId="56262DC0" w14:textId="77777777" w:rsidR="00EF366C" w:rsidRDefault="00EF366C"/>
    <w:p w14:paraId="11B60CD3" w14:textId="77777777" w:rsidR="00EF366C" w:rsidRDefault="00EF366C"/>
    <w:p w14:paraId="1016A79D" w14:textId="77777777" w:rsidR="00EF366C" w:rsidRDefault="00EF366C"/>
    <w:p w14:paraId="5028E4E9" w14:textId="77777777" w:rsidR="00EF366C" w:rsidRDefault="00EF36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0D756E" wp14:editId="255EE0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04CD4" w14:textId="77777777" w:rsidR="00EF366C" w:rsidRDefault="00EF36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D75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304CD4" w14:textId="77777777" w:rsidR="00EF366C" w:rsidRDefault="00EF36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E2A54C" w14:textId="77777777" w:rsidR="00EF366C" w:rsidRDefault="00EF366C"/>
    <w:p w14:paraId="50EC289A" w14:textId="77777777" w:rsidR="00EF366C" w:rsidRDefault="00EF366C"/>
    <w:p w14:paraId="0EDE8D8A" w14:textId="77777777" w:rsidR="00EF366C" w:rsidRDefault="00EF36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E476D1" wp14:editId="2EAEFA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00503" w14:textId="77777777" w:rsidR="00EF366C" w:rsidRDefault="00EF366C"/>
                          <w:p w14:paraId="2F4CFB2A" w14:textId="77777777" w:rsidR="00EF366C" w:rsidRDefault="00EF36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E476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800503" w14:textId="77777777" w:rsidR="00EF366C" w:rsidRDefault="00EF366C"/>
                    <w:p w14:paraId="2F4CFB2A" w14:textId="77777777" w:rsidR="00EF366C" w:rsidRDefault="00EF36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E8A8B3" w14:textId="77777777" w:rsidR="00EF366C" w:rsidRDefault="00EF366C"/>
    <w:p w14:paraId="1A9C8C08" w14:textId="77777777" w:rsidR="00EF366C" w:rsidRDefault="00EF366C">
      <w:pPr>
        <w:rPr>
          <w:sz w:val="2"/>
          <w:szCs w:val="2"/>
        </w:rPr>
      </w:pPr>
    </w:p>
    <w:p w14:paraId="02B4E0CF" w14:textId="77777777" w:rsidR="00EF366C" w:rsidRDefault="00EF366C"/>
    <w:p w14:paraId="702106C4" w14:textId="77777777" w:rsidR="00EF366C" w:rsidRDefault="00EF366C">
      <w:pPr>
        <w:spacing w:after="0" w:line="240" w:lineRule="auto"/>
      </w:pPr>
    </w:p>
  </w:footnote>
  <w:footnote w:type="continuationSeparator" w:id="0">
    <w:p w14:paraId="3B7EE282" w14:textId="77777777" w:rsidR="00EF366C" w:rsidRDefault="00EF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6C"/>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173910</TotalTime>
  <Pages>2</Pages>
  <Words>228</Words>
  <Characters>1301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5584</cp:revision>
  <cp:lastPrinted>2009-02-06T05:36:00Z</cp:lastPrinted>
  <dcterms:created xsi:type="dcterms:W3CDTF">2024-01-07T13:43:00Z</dcterms:created>
  <dcterms:modified xsi:type="dcterms:W3CDTF">2025-09-30T19:21:00Z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