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7B5CC"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Афремов, Леонид Лазаревич.</w:t>
      </w:r>
    </w:p>
    <w:p w14:paraId="06062935"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Магнитные свойства систем однодоменных и квазиоднодоменных взаимодействующих частиц : диссертация ... доктора физико-математических наук : 01.04.07. - Владивосток, 1999. - 229 с. : ил.</w:t>
      </w:r>
    </w:p>
    <w:p w14:paraId="35677E6B"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Оглавление диссертациидоктор физико-математических наук Афремов, Леонид Лазаревич</w:t>
      </w:r>
    </w:p>
    <w:p w14:paraId="5E699022"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Введение</w:t>
      </w:r>
    </w:p>
    <w:p w14:paraId="12CB4A36"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Глава 1. Магнитные состояния и магнитные свойства ансамбля одно- и квазиоднодоменных частиц (обзор)</w:t>
      </w:r>
    </w:p>
    <w:p w14:paraId="1BEAB5A3"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1.1. Однодоменные и квазиоднодоменные состояния гомогенных частиц.</w:t>
      </w:r>
    </w:p>
    <w:p w14:paraId="1646F4A6"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1.1.1. Распределение намагниченности в малом зерне</w:t>
      </w:r>
    </w:p>
    <w:p w14:paraId="3B245441"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1.1.2. Намагничивание однодоменных частиц.</w:t>
      </w:r>
    </w:p>
    <w:p w14:paraId="7BC1142E"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1.1.3. Намагничивание квазиоднодоменных частиц.</w:t>
      </w:r>
    </w:p>
    <w:p w14:paraId="39302F5C"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1.2. Магнитные состояния гетерогенных частиц.</w:t>
      </w:r>
    </w:p>
    <w:p w14:paraId="08959FA3"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1.3. Влияние термических флуктуаций на магнитные состояния ансамбля малых частиц.</w:t>
      </w:r>
    </w:p>
    <w:p w14:paraId="6F19E111"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1.4. Некоторые виды остаточной намагниченности.</w:t>
      </w:r>
    </w:p>
    <w:p w14:paraId="4EDC3380"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1.4.1. Нормальная остаточная намагниченность.</w:t>
      </w:r>
    </w:p>
    <w:p w14:paraId="70B085BF"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1.4.2. Вязкая намагниченность.</w:t>
      </w:r>
    </w:p>
    <w:p w14:paraId="3F07DED5"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1.4.3. Термовязкая намагниченность</w:t>
      </w:r>
    </w:p>
    <w:p w14:paraId="2BFC6154"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1.4.4. Переходная термоостаточная намагниченность</w:t>
      </w:r>
    </w:p>
    <w:p w14:paraId="0C2EA617"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1.4.5. Термоостаточная намагниченность.</w:t>
      </w:r>
    </w:p>
    <w:p w14:paraId="74A67A46"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1.4.6. Влияние механических нагрузок на процессы намагничивания</w:t>
      </w:r>
    </w:p>
    <w:p w14:paraId="31ADB8EE"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1.4.7. Кристаллизационная намагниченность.</w:t>
      </w:r>
    </w:p>
    <w:p w14:paraId="709C52B5"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1.5. Магнитостатическое взаимодействие в ансамбле малых частиц</w:t>
      </w:r>
    </w:p>
    <w:p w14:paraId="381DD833"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Глава 2. Магнитные состояния химически однородных однодоменных зерен</w:t>
      </w:r>
    </w:p>
    <w:p w14:paraId="6BFBEC79"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2.1. Равновесные состояния магнитного момента однодоменной несферической частицы.</w:t>
      </w:r>
    </w:p>
    <w:p w14:paraId="3AABD6E4"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2.1.1. Магнитные состояния зерна с к а &gt; 0, км &gt;</w:t>
      </w:r>
    </w:p>
    <w:p w14:paraId="6D5FC942"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2.1.2. Температурная зависимость критического поля однодоменной частицы.</w:t>
      </w:r>
    </w:p>
    <w:p w14:paraId="0EB8E06A"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2.1.3. Зависимость магнитного состояния однодоменной частицы от знака констант анизотропии.</w:t>
      </w:r>
    </w:p>
    <w:p w14:paraId="65860AA9"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2.2. Влияние механических напряжений на магнитные состояния однодоменных частиц.</w:t>
      </w:r>
    </w:p>
    <w:p w14:paraId="6253F286"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2.3. Магнитные состояния кристаллов с кубической симметрией</w:t>
      </w:r>
    </w:p>
    <w:p w14:paraId="498BE58E"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Глава 3, Магнитные состояния гетерогенных частиц</w:t>
      </w:r>
    </w:p>
    <w:p w14:paraId="16F2617D"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lastRenderedPageBreak/>
        <w:t>3.1. Распределение магнитного момента в гетерогенном зерне</w:t>
      </w:r>
    </w:p>
    <w:p w14:paraId="6B92B746"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3.2. Магнитные состояния двухфазных частиц</w:t>
      </w:r>
    </w:p>
    <w:p w14:paraId="768DE17A"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3.2.1. Модель двухфазной частицы.</w:t>
      </w:r>
    </w:p>
    <w:p w14:paraId="3C0FF8A3"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3.2.2. Равновесные состояния двухфазной частицы</w:t>
      </w:r>
    </w:p>
    <w:p w14:paraId="4BC24DAC"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3.2.3. Основные и метастабильные состояния двухфазной частицы.</w:t>
      </w:r>
    </w:p>
    <w:p w14:paraId="782A8BC2"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3.3. Влияние температуры на магнитные состояния гетерогенных частиц.</w:t>
      </w:r>
    </w:p>
    <w:p w14:paraId="13408E3C"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3.3.1. Распределение двухфазных частиц по состояниям</w:t>
      </w:r>
    </w:p>
    <w:p w14:paraId="2E9D57E8"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3.3.2. Диаграммы магнитных состояний суперпарамагнитных двухфазных частиц.</w:t>
      </w:r>
    </w:p>
    <w:p w14:paraId="65423D64"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Глава 4. Устойчивость магнитных состояний одно- и квази-однодоменных частиц</w:t>
      </w:r>
    </w:p>
    <w:p w14:paraId="393A0490"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4.1. Модель двухдоменной частицы.</w:t>
      </w:r>
    </w:p>
    <w:p w14:paraId="01CDDCFC"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4.2. Устойчивость магнитных состояний однородно намагниченной гомогенной частицы</w:t>
      </w:r>
    </w:p>
    <w:p w14:paraId="51A36CC3"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4.2.1. Основные и метастабильные состояния зерен магнетита</w:t>
      </w:r>
    </w:p>
    <w:p w14:paraId="05905E0C"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4.2.2. Анализ результатов моделирования для магнетита</w:t>
      </w:r>
    </w:p>
    <w:p w14:paraId="0E749761"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4.2.3. Критические размеры частиц железа.</w:t>
      </w:r>
    </w:p>
    <w:p w14:paraId="29E00D60"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4.3. Магнитные состояния гетерогенных частиц.</w:t>
      </w:r>
    </w:p>
    <w:p w14:paraId="136DEB01"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Глава 5. Магнитные свойства системы химически однородных невзаимодействующих частиц</w:t>
      </w:r>
    </w:p>
    <w:p w14:paraId="7ADD31A5"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5.1. Нормальная остаточная намагниченность и ее коэрцитивный спектр.</w:t>
      </w:r>
    </w:p>
    <w:p w14:paraId="12C66E32"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5.2. Термическое возбуждение однодоменных частиц. Вязкая намагниченность.</w:t>
      </w:r>
    </w:p>
    <w:p w14:paraId="617E3354"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5.3. Переходная термоостаточная намагниченность и «память» в системе однодоменных частиц.</w:t>
      </w:r>
    </w:p>
    <w:p w14:paraId="4183FC13"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5.4. Различные виды пьезоостаточной намагниченности.</w:t>
      </w:r>
    </w:p>
    <w:p w14:paraId="7F6A4794"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5.5. Влияние наведенной анизотропии на остаточную намагниченность и начальную восприимчивость системы однодоменных частиц.</w:t>
      </w:r>
    </w:p>
    <w:p w14:paraId="2B490170"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5.6. Гистерезисные характеристики многоосных частиц.</w:t>
      </w:r>
    </w:p>
    <w:p w14:paraId="2AC8E527"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Глава 6. Магнитостатическое взаимодействие в системе малых частиц</w:t>
      </w:r>
    </w:p>
    <w:p w14:paraId="780BDD3C"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6.1. Особенности магнитостатического взаимодействия в ансамбле растущих однодоменных зерен</w:t>
      </w:r>
    </w:p>
    <w:p w14:paraId="7A333F5A"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6.2. Зависимость магнитостатического взаимодействия от размерности ансамбля</w:t>
      </w:r>
    </w:p>
    <w:p w14:paraId="1B1269F1"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6.2.1. Малые концентрации.</w:t>
      </w:r>
    </w:p>
    <w:p w14:paraId="2C76FAF9"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6.2.2. Большие концентрации.</w:t>
      </w:r>
    </w:p>
    <w:p w14:paraId="6B86F3AD"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6.3. Распределение магнитных моментов системы однодоменных взаимодействующих частиц.</w:t>
      </w:r>
    </w:p>
    <w:p w14:paraId="333F3028"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lastRenderedPageBreak/>
        <w:t>6.4. Магнитостатическое взаимодействие в системе двухфазных частиц.</w:t>
      </w:r>
    </w:p>
    <w:p w14:paraId="1A272F32"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Глава 7. Намагничивание ансамбля гомогенных взаимодействующих частиц</w:t>
      </w:r>
    </w:p>
    <w:p w14:paraId="6C4A61A2"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7.1. Нормальная остаточная намагниченность в системе одно-доменных взаимодействующих частиц.</w:t>
      </w:r>
    </w:p>
    <w:p w14:paraId="7C908733"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7.2. Кристаллизационная намагниченность.</w:t>
      </w:r>
    </w:p>
    <w:p w14:paraId="4F9F9967"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7.3. Некоторые диагностические признаки термоостаточной и химической намагниченности ансамбля однодоменных частиц</w:t>
      </w:r>
    </w:p>
    <w:p w14:paraId="38CCD138"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7.3.1. Термоостаточная намагниченность.</w:t>
      </w:r>
    </w:p>
    <w:p w14:paraId="24833227"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7.3.2. Химическая остаточная намагниченность</w:t>
      </w:r>
    </w:p>
    <w:p w14:paraId="5827CFB8"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7.3.3. Идеальная намагниченность</w:t>
      </w:r>
    </w:p>
    <w:p w14:paraId="0A589F9D"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7.3.4. Сравнение отношений Rt и Rc.</w:t>
      </w:r>
    </w:p>
    <w:p w14:paraId="04EFEE61"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7.4. Особенности процесса намагничивания в ансамблях разной конфигурации.</w:t>
      </w:r>
    </w:p>
    <w:p w14:paraId="0398B664"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7.5. Анизотропия остаточной намагниченности как результат магнитостатического взаимодействия частиц.</w:t>
      </w:r>
    </w:p>
    <w:p w14:paraId="1499C1D1"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Глава 8. Магнитные свойства системы гетерогенных зерен</w:t>
      </w:r>
    </w:p>
    <w:p w14:paraId="69AD3E33"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8.1. Время релаксации и вязкая намагниченность ансамбля невзаимодействующих двухфазных частиц.</w:t>
      </w:r>
    </w:p>
    <w:p w14:paraId="36380B1C"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8.2. Гистерезисные свойства и остаточная намагниченность ансамбля невзаимодействующих двухфазных зерен титано-магнетита.</w:t>
      </w:r>
    </w:p>
    <w:p w14:paraId="1F0F102F"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8.3. Влияние межфазного обменного взаимодействия на намагничивание ансамбля частиц Co-7-Fe2C&gt;</w:t>
      </w:r>
    </w:p>
    <w:p w14:paraId="1FEC9AD7" w14:textId="77777777" w:rsidR="000B54DC" w:rsidRPr="000B54DC" w:rsidRDefault="000B54DC" w:rsidP="000B54DC">
      <w:pPr>
        <w:rPr>
          <w:rFonts w:ascii="Helvetica" w:eastAsia="Symbol" w:hAnsi="Helvetica" w:cs="Helvetica"/>
          <w:b/>
          <w:bCs/>
          <w:color w:val="222222"/>
          <w:kern w:val="0"/>
          <w:sz w:val="21"/>
          <w:szCs w:val="21"/>
          <w:lang w:eastAsia="ru-RU"/>
        </w:rPr>
      </w:pPr>
      <w:r w:rsidRPr="000B54DC">
        <w:rPr>
          <w:rFonts w:ascii="Helvetica" w:eastAsia="Symbol" w:hAnsi="Helvetica" w:cs="Helvetica"/>
          <w:b/>
          <w:bCs/>
          <w:color w:val="222222"/>
          <w:kern w:val="0"/>
          <w:sz w:val="21"/>
          <w:szCs w:val="21"/>
          <w:lang w:eastAsia="ru-RU"/>
        </w:rPr>
        <w:t>8.4. Влияние магнитостатического взаимодействия на гистерезисные характеристики ансамбля химически неоднородных частиц.</w:t>
      </w:r>
    </w:p>
    <w:p w14:paraId="071EBB05" w14:textId="008C00B6" w:rsidR="00E67B85" w:rsidRPr="000B54DC" w:rsidRDefault="00E67B85" w:rsidP="000B54DC"/>
    <w:sectPr w:rsidR="00E67B85" w:rsidRPr="000B54D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4CB9A" w14:textId="77777777" w:rsidR="00F57339" w:rsidRDefault="00F57339">
      <w:pPr>
        <w:spacing w:after="0" w:line="240" w:lineRule="auto"/>
      </w:pPr>
      <w:r>
        <w:separator/>
      </w:r>
    </w:p>
  </w:endnote>
  <w:endnote w:type="continuationSeparator" w:id="0">
    <w:p w14:paraId="6D8DC09B" w14:textId="77777777" w:rsidR="00F57339" w:rsidRDefault="00F57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B64CF" w14:textId="77777777" w:rsidR="00F57339" w:rsidRDefault="00F57339"/>
    <w:p w14:paraId="14775BA7" w14:textId="77777777" w:rsidR="00F57339" w:rsidRDefault="00F57339"/>
    <w:p w14:paraId="4203D249" w14:textId="77777777" w:rsidR="00F57339" w:rsidRDefault="00F57339"/>
    <w:p w14:paraId="27A71256" w14:textId="77777777" w:rsidR="00F57339" w:rsidRDefault="00F57339"/>
    <w:p w14:paraId="4F774296" w14:textId="77777777" w:rsidR="00F57339" w:rsidRDefault="00F57339"/>
    <w:p w14:paraId="2D424A10" w14:textId="77777777" w:rsidR="00F57339" w:rsidRDefault="00F57339"/>
    <w:p w14:paraId="63200BEC" w14:textId="77777777" w:rsidR="00F57339" w:rsidRDefault="00F5733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7A64F4" wp14:editId="567FB3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A2840" w14:textId="77777777" w:rsidR="00F57339" w:rsidRDefault="00F573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7A64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3A2840" w14:textId="77777777" w:rsidR="00F57339" w:rsidRDefault="00F573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763AD8" w14:textId="77777777" w:rsidR="00F57339" w:rsidRDefault="00F57339"/>
    <w:p w14:paraId="55BC4FB4" w14:textId="77777777" w:rsidR="00F57339" w:rsidRDefault="00F57339"/>
    <w:p w14:paraId="344A8110" w14:textId="77777777" w:rsidR="00F57339" w:rsidRDefault="00F5733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11D97E" wp14:editId="53D1B2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6819" w14:textId="77777777" w:rsidR="00F57339" w:rsidRDefault="00F57339"/>
                          <w:p w14:paraId="155E8AE2" w14:textId="77777777" w:rsidR="00F57339" w:rsidRDefault="00F573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11D9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186819" w14:textId="77777777" w:rsidR="00F57339" w:rsidRDefault="00F57339"/>
                    <w:p w14:paraId="155E8AE2" w14:textId="77777777" w:rsidR="00F57339" w:rsidRDefault="00F573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460008" w14:textId="77777777" w:rsidR="00F57339" w:rsidRDefault="00F57339"/>
    <w:p w14:paraId="7D7BF5BD" w14:textId="77777777" w:rsidR="00F57339" w:rsidRDefault="00F57339">
      <w:pPr>
        <w:rPr>
          <w:sz w:val="2"/>
          <w:szCs w:val="2"/>
        </w:rPr>
      </w:pPr>
    </w:p>
    <w:p w14:paraId="178F54C4" w14:textId="77777777" w:rsidR="00F57339" w:rsidRDefault="00F57339"/>
    <w:p w14:paraId="70B3957A" w14:textId="77777777" w:rsidR="00F57339" w:rsidRDefault="00F57339">
      <w:pPr>
        <w:spacing w:after="0" w:line="240" w:lineRule="auto"/>
      </w:pPr>
    </w:p>
  </w:footnote>
  <w:footnote w:type="continuationSeparator" w:id="0">
    <w:p w14:paraId="6428AB60" w14:textId="77777777" w:rsidR="00F57339" w:rsidRDefault="00F57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39"/>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112200</TotalTime>
  <Pages>3</Pages>
  <Words>697</Words>
  <Characters>3974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1867</cp:revision>
  <cp:lastPrinted>2009-02-06T05:36:00Z</cp:lastPrinted>
  <dcterms:created xsi:type="dcterms:W3CDTF">2024-01-07T13:43:00Z</dcterms:created>
  <dcterms:modified xsi:type="dcterms:W3CDTF">2025-06-11T09:31:00Z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