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114EA" w14:textId="77777777" w:rsidR="004E12D7" w:rsidRDefault="004E12D7" w:rsidP="004E12D7">
      <w:pPr>
        <w:pStyle w:val="afffffffffffffffffffffffffff5"/>
        <w:rPr>
          <w:rFonts w:ascii="Verdana" w:hAnsi="Verdana"/>
          <w:color w:val="000000"/>
          <w:sz w:val="21"/>
          <w:szCs w:val="21"/>
        </w:rPr>
      </w:pPr>
      <w:r>
        <w:rPr>
          <w:rFonts w:ascii="Helvetica" w:hAnsi="Helvetica" w:cs="Helvetica"/>
          <w:b/>
          <w:bCs w:val="0"/>
          <w:color w:val="222222"/>
          <w:sz w:val="21"/>
          <w:szCs w:val="21"/>
        </w:rPr>
        <w:t>Усачев, Константин Валерьевич.</w:t>
      </w:r>
    </w:p>
    <w:p w14:paraId="312C0A6F" w14:textId="77777777" w:rsidR="004E12D7" w:rsidRDefault="004E12D7" w:rsidP="004E12D7">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Электоральное поведение как форма политического </w:t>
      </w:r>
      <w:proofErr w:type="gramStart"/>
      <w:r>
        <w:rPr>
          <w:rFonts w:ascii="Helvetica" w:hAnsi="Helvetica" w:cs="Helvetica"/>
          <w:caps/>
          <w:color w:val="222222"/>
          <w:sz w:val="21"/>
          <w:szCs w:val="21"/>
        </w:rPr>
        <w:t>участия :</w:t>
      </w:r>
      <w:proofErr w:type="gramEnd"/>
      <w:r>
        <w:rPr>
          <w:rFonts w:ascii="Helvetica" w:hAnsi="Helvetica" w:cs="Helvetica"/>
          <w:caps/>
          <w:color w:val="222222"/>
          <w:sz w:val="21"/>
          <w:szCs w:val="21"/>
        </w:rPr>
        <w:t xml:space="preserve"> Модели, динамика, факторы мотивации : диссертация ... кандидата политических наук : 23.00.02. - Коломна, 2000. - 206 с.</w:t>
      </w:r>
    </w:p>
    <w:p w14:paraId="01990B5C" w14:textId="77777777" w:rsidR="004E12D7" w:rsidRDefault="004E12D7" w:rsidP="004E12D7">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Усачев, Константин Валерьевич</w:t>
      </w:r>
    </w:p>
    <w:p w14:paraId="67558363" w14:textId="77777777" w:rsidR="004E12D7" w:rsidRDefault="004E12D7" w:rsidP="004E12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69E6B4B" w14:textId="77777777" w:rsidR="004E12D7" w:rsidRDefault="004E12D7" w:rsidP="004E12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Проблема политической субъективности как предмет анализа</w:t>
      </w:r>
    </w:p>
    <w:p w14:paraId="16870AFE" w14:textId="77777777" w:rsidR="004E12D7" w:rsidRDefault="004E12D7" w:rsidP="004E12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Теории политического участия: история проблемы и способы ее интерпретации.</w:t>
      </w:r>
    </w:p>
    <w:p w14:paraId="55BD7795" w14:textId="77777777" w:rsidR="004E12D7" w:rsidRDefault="004E12D7" w:rsidP="004E12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 Электоральное поведение: персональные, </w:t>
      </w:r>
      <w:proofErr w:type="spellStart"/>
      <w:r>
        <w:rPr>
          <w:rFonts w:ascii="Arial" w:hAnsi="Arial" w:cs="Arial"/>
          <w:color w:val="333333"/>
          <w:sz w:val="21"/>
          <w:szCs w:val="21"/>
        </w:rPr>
        <w:t>социальностатусные</w:t>
      </w:r>
      <w:proofErr w:type="spellEnd"/>
      <w:r>
        <w:rPr>
          <w:rFonts w:ascii="Arial" w:hAnsi="Arial" w:cs="Arial"/>
          <w:color w:val="333333"/>
          <w:sz w:val="21"/>
          <w:szCs w:val="21"/>
        </w:rPr>
        <w:t xml:space="preserve"> и социокультурные факторы мотивации</w:t>
      </w:r>
    </w:p>
    <w:p w14:paraId="60A169A4" w14:textId="77777777" w:rsidR="004E12D7" w:rsidRDefault="004E12D7" w:rsidP="004E12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Институциональные факторы мотивации</w:t>
      </w:r>
    </w:p>
    <w:p w14:paraId="2B5EA29A" w14:textId="77777777" w:rsidR="004E12D7" w:rsidRDefault="004E12D7" w:rsidP="004E12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2. Факторы мотивации и модели электорального поведения в </w:t>
      </w:r>
      <w:proofErr w:type="spellStart"/>
      <w:r>
        <w:rPr>
          <w:rFonts w:ascii="Arial" w:hAnsi="Arial" w:cs="Arial"/>
          <w:color w:val="333333"/>
          <w:sz w:val="21"/>
          <w:szCs w:val="21"/>
        </w:rPr>
        <w:t>посттоталитарной</w:t>
      </w:r>
      <w:proofErr w:type="spellEnd"/>
      <w:r>
        <w:rPr>
          <w:rFonts w:ascii="Arial" w:hAnsi="Arial" w:cs="Arial"/>
          <w:color w:val="333333"/>
          <w:sz w:val="21"/>
          <w:szCs w:val="21"/>
        </w:rPr>
        <w:t xml:space="preserve"> России</w:t>
      </w:r>
    </w:p>
    <w:p w14:paraId="6890C89B" w14:textId="77777777" w:rsidR="004E12D7" w:rsidRDefault="004E12D7" w:rsidP="004E12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Особенности электорального поведения в России: проблема адаптивности западных теорий</w:t>
      </w:r>
    </w:p>
    <w:p w14:paraId="156CDA46" w14:textId="77777777" w:rsidR="004E12D7" w:rsidRDefault="004E12D7" w:rsidP="004E12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Классификация моделей электоральных предпочтений на парламентских выборах 1995 г.</w:t>
      </w:r>
    </w:p>
    <w:p w14:paraId="0BFE5B7E" w14:textId="77777777" w:rsidR="004E12D7" w:rsidRDefault="004E12D7" w:rsidP="004E12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Модели, динамика и основные тенденции электоральных предпочтений после парламентских выборов 1995г.</w:t>
      </w:r>
    </w:p>
    <w:p w14:paraId="7823CDB0" w14:textId="72BD7067" w:rsidR="00F37380" w:rsidRPr="004E12D7" w:rsidRDefault="00F37380" w:rsidP="004E12D7"/>
    <w:sectPr w:rsidR="00F37380" w:rsidRPr="004E12D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1CD04" w14:textId="77777777" w:rsidR="00B054CF" w:rsidRDefault="00B054CF">
      <w:pPr>
        <w:spacing w:after="0" w:line="240" w:lineRule="auto"/>
      </w:pPr>
      <w:r>
        <w:separator/>
      </w:r>
    </w:p>
  </w:endnote>
  <w:endnote w:type="continuationSeparator" w:id="0">
    <w:p w14:paraId="78FF145F" w14:textId="77777777" w:rsidR="00B054CF" w:rsidRDefault="00B05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2CA79" w14:textId="77777777" w:rsidR="00B054CF" w:rsidRDefault="00B054CF"/>
    <w:p w14:paraId="096E55DB" w14:textId="77777777" w:rsidR="00B054CF" w:rsidRDefault="00B054CF"/>
    <w:p w14:paraId="68E07A7D" w14:textId="77777777" w:rsidR="00B054CF" w:rsidRDefault="00B054CF"/>
    <w:p w14:paraId="06C7F5A4" w14:textId="77777777" w:rsidR="00B054CF" w:rsidRDefault="00B054CF"/>
    <w:p w14:paraId="40273B17" w14:textId="77777777" w:rsidR="00B054CF" w:rsidRDefault="00B054CF"/>
    <w:p w14:paraId="3C12C922" w14:textId="77777777" w:rsidR="00B054CF" w:rsidRDefault="00B054CF"/>
    <w:p w14:paraId="37BAE6C8" w14:textId="77777777" w:rsidR="00B054CF" w:rsidRDefault="00B054C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2C1FC84" wp14:editId="2701337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F3BFFE" w14:textId="77777777" w:rsidR="00B054CF" w:rsidRDefault="00B054C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C1FC8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BF3BFFE" w14:textId="77777777" w:rsidR="00B054CF" w:rsidRDefault="00B054C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83460CC" w14:textId="77777777" w:rsidR="00B054CF" w:rsidRDefault="00B054CF"/>
    <w:p w14:paraId="2C72394B" w14:textId="77777777" w:rsidR="00B054CF" w:rsidRDefault="00B054CF"/>
    <w:p w14:paraId="350CBB27" w14:textId="77777777" w:rsidR="00B054CF" w:rsidRDefault="00B054C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4210C96" wp14:editId="32ECCFF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9BAD18" w14:textId="77777777" w:rsidR="00B054CF" w:rsidRDefault="00B054CF"/>
                          <w:p w14:paraId="534C3CF2" w14:textId="77777777" w:rsidR="00B054CF" w:rsidRDefault="00B054C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4210C9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49BAD18" w14:textId="77777777" w:rsidR="00B054CF" w:rsidRDefault="00B054CF"/>
                    <w:p w14:paraId="534C3CF2" w14:textId="77777777" w:rsidR="00B054CF" w:rsidRDefault="00B054C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47496E4" w14:textId="77777777" w:rsidR="00B054CF" w:rsidRDefault="00B054CF"/>
    <w:p w14:paraId="47CD8CDB" w14:textId="77777777" w:rsidR="00B054CF" w:rsidRDefault="00B054CF">
      <w:pPr>
        <w:rPr>
          <w:sz w:val="2"/>
          <w:szCs w:val="2"/>
        </w:rPr>
      </w:pPr>
    </w:p>
    <w:p w14:paraId="33A19A35" w14:textId="77777777" w:rsidR="00B054CF" w:rsidRDefault="00B054CF"/>
    <w:p w14:paraId="59A5A544" w14:textId="77777777" w:rsidR="00B054CF" w:rsidRDefault="00B054CF">
      <w:pPr>
        <w:spacing w:after="0" w:line="240" w:lineRule="auto"/>
      </w:pPr>
    </w:p>
  </w:footnote>
  <w:footnote w:type="continuationSeparator" w:id="0">
    <w:p w14:paraId="105A2E59" w14:textId="77777777" w:rsidR="00B054CF" w:rsidRDefault="00B054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4CF"/>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79197</TotalTime>
  <Pages>1</Pages>
  <Words>141</Words>
  <Characters>806</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2461</cp:revision>
  <cp:lastPrinted>2009-02-06T05:36:00Z</cp:lastPrinted>
  <dcterms:created xsi:type="dcterms:W3CDTF">2024-01-07T13:43:00Z</dcterms:created>
  <dcterms:modified xsi:type="dcterms:W3CDTF">2025-04-22T16:08:00Z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