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7EA5" w14:textId="035AC504" w:rsidR="00265399" w:rsidRDefault="00DC7785" w:rsidP="00DC778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Волкова Олена Анатоліївна. Підвищення інвестиційної активності суб'єктів господарювання на ринку цінних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паперів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Дис... канд. наук: 08.02.03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C7785" w:rsidRPr="00DC7785" w14:paraId="7D186930" w14:textId="77777777" w:rsidTr="00DC778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C7785" w:rsidRPr="00DC7785" w14:paraId="6AF7E08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877D3B" w14:textId="77777777" w:rsidR="00DC7785" w:rsidRPr="00DC7785" w:rsidRDefault="00DC7785" w:rsidP="00DC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77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 xml:space="preserve">Волкова О. А. Підвищення інвестиційної активності суб’єктів господарювання </w:t>
                  </w:r>
                  <w:proofErr w:type="gramStart"/>
                  <w:r w:rsidRPr="00DC77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 ринку</w:t>
                  </w:r>
                  <w:proofErr w:type="gramEnd"/>
                  <w:r w:rsidRPr="00DC77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цінних паперів. – Рукопис.</w:t>
                  </w:r>
                </w:p>
                <w:p w14:paraId="50DC067E" w14:textId="77777777" w:rsidR="00DC7785" w:rsidRPr="00DC7785" w:rsidRDefault="00DC7785" w:rsidP="00DC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08.02.03 - Організація управління, планування та регулювання економікою. Донецький національний університет Міністерства освіти і науки України, Донецьк, 2005</w:t>
                  </w:r>
                </w:p>
                <w:p w14:paraId="23F1E33F" w14:textId="77777777" w:rsidR="00DC7785" w:rsidRPr="00DC7785" w:rsidRDefault="00DC7785" w:rsidP="00DC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вирішенню задачі, яка спрямована на формування привабливого інвестиційного середовища в Україні. Визначено поняття інвестиції для розробки концептуальних основ створення інвестиційного портфеля активів і їх розподілу по проектах з урахуванням інвестиційного та кредитного ризиків та особливостей інвестиційної діяльності в умовах транзитивної економіки. На підставі удосконалення методів фінансового аналізу встановлено домінуючі інвестиційні ресурси.</w:t>
                  </w:r>
                </w:p>
                <w:p w14:paraId="11A7A8B4" w14:textId="77777777" w:rsidR="00DC7785" w:rsidRPr="00DC7785" w:rsidRDefault="00DC7785" w:rsidP="00DC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економіко-математичну модель для забезпечення управління інвестиційними та кредитними ризиками, що дозволяє створити буфер попередження зовнішніх і внутрішніх економічних загроз.</w:t>
                  </w:r>
                </w:p>
                <w:p w14:paraId="67FFB96F" w14:textId="77777777" w:rsidR="00DC7785" w:rsidRPr="00DC7785" w:rsidRDefault="00DC7785" w:rsidP="00DC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Запропоновано механізм взаємодії власників інвестиційних ресурсів і суб’єктів господарювання </w:t>
                  </w:r>
                  <w:proofErr w:type="gramStart"/>
                  <w:r w:rsidRPr="00DC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фондовому ринку</w:t>
                  </w:r>
                  <w:proofErr w:type="gramEnd"/>
                  <w:r w:rsidRPr="00DC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5879D26E" w14:textId="77777777" w:rsidR="00DC7785" w:rsidRPr="00DC7785" w:rsidRDefault="00DC7785" w:rsidP="00DC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77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Волкова Е. А. Повышение инвестиционной активности хозяйствующих субъектов на рынке ценных бумаг. – Рукопись.</w:t>
                  </w:r>
                </w:p>
                <w:p w14:paraId="548AB082" w14:textId="77777777" w:rsidR="00DC7785" w:rsidRPr="00DC7785" w:rsidRDefault="00DC7785" w:rsidP="00DC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Диссертация на соискание научной степени кандидата экономических наук по специальности 08.02.03 - Организация управления, планирования и регулирования экономикой. Донецкий национальный университет Министерства образования и науки Украины, Донецк, 2005</w:t>
                  </w:r>
                </w:p>
                <w:p w14:paraId="67A2504D" w14:textId="77777777" w:rsidR="00DC7785" w:rsidRPr="00DC7785" w:rsidRDefault="00DC7785" w:rsidP="00DC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Диссертационная работа посвящена решению одной из важнейших задач рыночной экономики, формирование равновесной инвестиционной среды в Украине. Уточнены понятия «инвестиции» для разработки концептуальных основ создания инвестиционного портфеля активов и их рационального распределения по проектам с учетом инвестиционного и кредитного рисков, особенностей инвестиционной деятельности в условиях транзитивной экономики.</w:t>
                  </w:r>
                </w:p>
                <w:p w14:paraId="58EF9B73" w14:textId="77777777" w:rsidR="00DC7785" w:rsidRPr="00DC7785" w:rsidRDefault="00DC7785" w:rsidP="00DC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Концепция повышения инвестиционной активности предусматривает следующие блоки: установление особенностей инвестиционной деятельности, ее финансовый анализ, установление и исследование доминирующих инвестиционных ресурсов, формирование инвестиционного портфеля и определение степени инвестиционного и кредитного риска, механизм реализации разработанной модели инвестиционной привлекательности.</w:t>
                  </w:r>
                </w:p>
                <w:p w14:paraId="7B2B5FD1" w14:textId="77777777" w:rsidR="00DC7785" w:rsidRPr="00DC7785" w:rsidRDefault="00DC7785" w:rsidP="00DC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основе усовершенствования методов финансового анализа и их адаптирования к оценке рисков в среде инвестирования и оборота ресурсов фондового рынка установлены доминирующие инвестиционные ресурсы в регионах.</w:t>
                  </w:r>
                </w:p>
                <w:p w14:paraId="4A07DB59" w14:textId="77777777" w:rsidR="00DC7785" w:rsidRPr="00DC7785" w:rsidRDefault="00DC7785" w:rsidP="00DC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Инвестиционные ресурсы, главным образом, создаются за счет средств хозяйствующих субъектов: амортизационные отчисления, прибыль, операции с ценными бумагами и облигациями. Ресурсы фондового рынка занимают незначительный удельный вес, причем эта </w:t>
                  </w:r>
                  <w:r w:rsidRPr="00DC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величина не имеет тенденции к росту. Доказано, что такая ситуация складывается как результат низкой активности вторичного рынка ценных бумаг, снижение которого наблюдается с 2000 г. и резкое увеличение объема государственного инвестирования.</w:t>
                  </w:r>
                </w:p>
                <w:p w14:paraId="2A76BA14" w14:textId="77777777" w:rsidR="00DC7785" w:rsidRPr="00DC7785" w:rsidRDefault="00DC7785" w:rsidP="00DC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 монопольный характер функционирования субъектов фондового рынка. По состоянию на 01.01.2000 г. из 9 его участников два имеют около 97 % торговли ценными бумагами.</w:t>
                  </w:r>
                </w:p>
                <w:p w14:paraId="27CD5574" w14:textId="77777777" w:rsidR="00DC7785" w:rsidRPr="00DC7785" w:rsidRDefault="00DC7785" w:rsidP="00DC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Разработана экономико-математическая модель для обеспечения управления инвестиционными и кредитными рисками, которая одновременно учитывает основные финансово-экономические характеристики предприятия, внутренние и внешние угрозы. Такая модель является основой создания упреждающего буфера от внешних и внутренних экономических угроз.</w:t>
                  </w:r>
                </w:p>
                <w:p w14:paraId="0B5401DC" w14:textId="77777777" w:rsidR="00DC7785" w:rsidRPr="00DC7785" w:rsidRDefault="00DC7785" w:rsidP="00DC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Обоснование инвестиционной привлекательности потребителей ресурсов инвестирования осуществляется с учетом прямых и обратных связей инвестиционной системы, включающей: средства для реализации инвестиционных проектов, средства на депозитных счетах банков, рентабельность инвестиций, коэффициент общей доходности инвестиций, коэффициент относительной доходности инвестиций, кредитный период, сроки окупаемости проектов с учетом собственных и привлеченных средств, доля доходов от операционной деятельности, направляемая на инвестиции в проект, индекс инфляции, кредитные и денежные ставки.</w:t>
                  </w:r>
                </w:p>
                <w:p w14:paraId="30D809AC" w14:textId="77777777" w:rsidR="00DC7785" w:rsidRPr="00DC7785" w:rsidRDefault="00DC7785" w:rsidP="00DC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Предложен механизм взаимодействия собственников инвестиционных ресурсов и хозяйствующих субъектов на фондовом рынке, который включает основные подсистемы инвестиционной деятельности: факторы инвестиционной активности и инструменты ее повышения, взаимоотношения владельцев инвестиционных ресурсов и их потребителей.</w:t>
                  </w:r>
                </w:p>
              </w:tc>
            </w:tr>
          </w:tbl>
          <w:p w14:paraId="426D7B1A" w14:textId="77777777" w:rsidR="00DC7785" w:rsidRPr="00DC7785" w:rsidRDefault="00DC7785" w:rsidP="00DC7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785" w:rsidRPr="00DC7785" w14:paraId="09F4872F" w14:textId="77777777" w:rsidTr="00DC778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C7785" w:rsidRPr="00DC7785" w14:paraId="1564E9C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8840FD" w14:textId="77777777" w:rsidR="00DC7785" w:rsidRPr="00DC7785" w:rsidRDefault="00DC7785" w:rsidP="00DC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 дисертаційній роботі здійснено теоретичне обґрунтування і визначено напрями вирішення актуальної науково-методичної задачі удосконалення механізму підвищення інвестиційної активності власників інвестиційних коштів та розробки методичних положень.</w:t>
                  </w:r>
                </w:p>
                <w:p w14:paraId="0231E8C7" w14:textId="77777777" w:rsidR="00DC7785" w:rsidRPr="00DC7785" w:rsidRDefault="00DC7785" w:rsidP="00DC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дисертаційного дослідження дозволили зробити наступні висновки науково-методичного значення та практичного спрямування, які є основою підвищення інвестиційної привабливості суб’єктів господарювання і інвестиційної активності власників відповідних ресурсів.</w:t>
                  </w:r>
                </w:p>
                <w:p w14:paraId="4FBBDCFB" w14:textId="77777777" w:rsidR="00DC7785" w:rsidRPr="00DC7785" w:rsidRDefault="00DC7785" w:rsidP="00DC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процесу інвестування коштів для розширеного відтворення основного капіталу підтверджує недостатні темпи зростання питомої ваги інвестицій у валовому внутрішньому продукті по таких причинах: недостатні інвестиційні ресурси держави, територіальних утворень, суб’єктів господарювання та слабкий розвиток фондового ринку.</w:t>
                  </w:r>
                </w:p>
                <w:p w14:paraId="751955FC" w14:textId="77777777" w:rsidR="00DC7785" w:rsidRPr="00DC7785" w:rsidRDefault="00DC7785" w:rsidP="00DC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Розроблено концептуальні основи формування інвестиційного портфеля активів та їх розподілу з урахуванням інвестиційних і кредитних ризиків. На цій підставі запропоновано засоби реалізації особливостей інвестиційної діяльності суб’єктів господарювання в умовах транзитивної економіки. Практичне застосування концепції є основою підвищення інвестиційної привабливості підприємств.</w:t>
                  </w:r>
                </w:p>
                <w:p w14:paraId="68049C5B" w14:textId="77777777" w:rsidR="00DC7785" w:rsidRPr="00DC7785" w:rsidRDefault="00DC7785" w:rsidP="00DC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Ефективність інвестиційної політики визначає можливості економіки щодо оновлення і модернізації основних фондів і розв’язання задач структурної перебудови економіки України. </w:t>
                  </w:r>
                  <w:r w:rsidRPr="00DC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Обґрунтовано, що факторами, які перешкоджають залученню інвестицій в економіку територіальних утворень держави і їх структурних одиниць, є: недостатній рівень конкурентоспроможності продукції і підприємств як наслідок несприятливого інвестиційного клімату, низькі кількісні і якісні характеристики інвестиційного процесу в стадії перерозподілу і накопичення капіталу у виробничо-комерційній сфері і сфері обігу.</w:t>
                  </w:r>
                </w:p>
                <w:p w14:paraId="13EF39FC" w14:textId="77777777" w:rsidR="00DC7785" w:rsidRPr="00DC7785" w:rsidRDefault="00DC7785" w:rsidP="00DC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Обґрунтовано, що основними напрямками інвестиційної політики у середньостроковому періоді залишаються: збільшення частки одноразових витрат господарюючих суб’єктів за рахунок прибутку і амортизаційних відрахувань; посилення державного протекціонізму в інвестиційному процесі; регулювання інвестиційних ресурсів на фондовому ринку, включаючи використання збережень населення; формування механізму страхування внутрішніх і зовнішніх інвестицій; інтеграція промислового і банківського капіталів; удосконалення кредитної системи.</w:t>
                  </w:r>
                </w:p>
                <w:p w14:paraId="5B9033BD" w14:textId="77777777" w:rsidR="00DC7785" w:rsidRPr="00DC7785" w:rsidRDefault="00DC7785" w:rsidP="00DC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Запропоновано класифікацію економічних ризиків, пов’язаних з процесом інвестування і кредитування, яка є інструментом створення буферної системи для попередження загроз інвестиційному і кредитному портфелю. У сукупності формується модель узгодження інтересів інвесторів і суб’єктів господарювання, які є одержувачами інвестиційних ресурсів.</w:t>
                  </w:r>
                </w:p>
                <w:p w14:paraId="461DC688" w14:textId="77777777" w:rsidR="00DC7785" w:rsidRPr="00DC7785" w:rsidRDefault="00DC7785" w:rsidP="00DC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 підставі аналізу структури інвестиційних ресурсів підтверджено значну питому вагу власних джерел, що обґрунтується слабкими темпами розвитку фондового ринку, недостатньою можливістю бюджетних ресурсів держави і регіонів, встановлені домінуючі інвестиційні ресурси підприємств диверсифікованою спрямованістю.</w:t>
                  </w:r>
                </w:p>
                <w:p w14:paraId="7F562652" w14:textId="77777777" w:rsidR="00DC7785" w:rsidRPr="00DC7785" w:rsidRDefault="00DC7785" w:rsidP="00DC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Запропоновано теоретико-імовірнісну формалізацію поняття доходності і ризику для вибору оптимальної інвестиційної стратегії, що використовується на етапі формування портфеля активів і при розподілі інвестиційного капіталу по типах активів й формуванні ринкових цін фінансових активів.</w:t>
                  </w:r>
                </w:p>
                <w:p w14:paraId="27090C9B" w14:textId="77777777" w:rsidR="00DC7785" w:rsidRPr="00DC7785" w:rsidRDefault="00DC7785" w:rsidP="00DC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Удосконалено механізм взаємодії власників інвестиційних коштів </w:t>
                  </w:r>
                  <w:proofErr w:type="gramStart"/>
                  <w:r w:rsidRPr="00DC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фондовому ринку</w:t>
                  </w:r>
                  <w:proofErr w:type="gramEnd"/>
                  <w:r w:rsidRPr="00DC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поєднає економічну зацікавленість у підвищенні ефективності інвестиційної діяльності через створення привабливого ринкового середовища.</w:t>
                  </w:r>
                </w:p>
                <w:p w14:paraId="213550AE" w14:textId="77777777" w:rsidR="00DC7785" w:rsidRPr="00DC7785" w:rsidRDefault="00DC7785" w:rsidP="00DC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Результати теоретичного дослідження доведено до практичних методичних рекомендацій і впроваджено в ЗАТ “Інкерстром”. Сукупний економічний ефект складає 61,35 тис. грн., у тому числі автору належить 26,0%, що є 15,97 тис. грн.</w:t>
                  </w:r>
                </w:p>
              </w:tc>
            </w:tr>
          </w:tbl>
          <w:p w14:paraId="5B69EEA1" w14:textId="77777777" w:rsidR="00DC7785" w:rsidRPr="00DC7785" w:rsidRDefault="00DC7785" w:rsidP="00DC7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EA43AC" w14:textId="77777777" w:rsidR="00DC7785" w:rsidRPr="00DC7785" w:rsidRDefault="00DC7785" w:rsidP="00DC7785"/>
    <w:sectPr w:rsidR="00DC7785" w:rsidRPr="00DC778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D7CF8" w14:textId="77777777" w:rsidR="00E61712" w:rsidRDefault="00E61712">
      <w:pPr>
        <w:spacing w:after="0" w:line="240" w:lineRule="auto"/>
      </w:pPr>
      <w:r>
        <w:separator/>
      </w:r>
    </w:p>
  </w:endnote>
  <w:endnote w:type="continuationSeparator" w:id="0">
    <w:p w14:paraId="0996B30B" w14:textId="77777777" w:rsidR="00E61712" w:rsidRDefault="00E61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2DA24" w14:textId="77777777" w:rsidR="00E61712" w:rsidRDefault="00E61712">
      <w:pPr>
        <w:spacing w:after="0" w:line="240" w:lineRule="auto"/>
      </w:pPr>
      <w:r>
        <w:separator/>
      </w:r>
    </w:p>
  </w:footnote>
  <w:footnote w:type="continuationSeparator" w:id="0">
    <w:p w14:paraId="7F9FD0C5" w14:textId="77777777" w:rsidR="00E61712" w:rsidRDefault="00E61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6171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DC5"/>
    <w:rsid w:val="00147F47"/>
    <w:rsid w:val="0015044C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D8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B9"/>
    <w:rsid w:val="002743CD"/>
    <w:rsid w:val="00274420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56F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9C2"/>
    <w:rsid w:val="00415D07"/>
    <w:rsid w:val="00415D32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BE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C8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72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87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19F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712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095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5AC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92300</TotalTime>
  <Pages>4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4574</cp:revision>
  <dcterms:created xsi:type="dcterms:W3CDTF">2024-06-20T08:51:00Z</dcterms:created>
  <dcterms:modified xsi:type="dcterms:W3CDTF">2024-09-28T22:29:00Z</dcterms:modified>
  <cp:category/>
</cp:coreProperties>
</file>