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1AC9" w14:textId="77777777" w:rsidR="00A735E5" w:rsidRDefault="00A735E5" w:rsidP="00A735E5">
      <w:pPr>
        <w:pStyle w:val="afffffffffffffffffffffffffff5"/>
        <w:rPr>
          <w:rFonts w:ascii="Verdana" w:hAnsi="Verdana"/>
          <w:color w:val="000000"/>
          <w:sz w:val="21"/>
          <w:szCs w:val="21"/>
        </w:rPr>
      </w:pPr>
      <w:r>
        <w:rPr>
          <w:rFonts w:ascii="Helvetica" w:hAnsi="Helvetica" w:cs="Helvetica"/>
          <w:b/>
          <w:bCs w:val="0"/>
          <w:color w:val="222222"/>
          <w:sz w:val="21"/>
          <w:szCs w:val="21"/>
        </w:rPr>
        <w:t>Альварес Гомес, Хосе Леонардо.</w:t>
      </w:r>
    </w:p>
    <w:p w14:paraId="6DE35D25" w14:textId="77777777" w:rsidR="00A735E5" w:rsidRDefault="00A735E5" w:rsidP="00A735E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Сейсмичность Восточной </w:t>
      </w:r>
      <w:proofErr w:type="gramStart"/>
      <w:r>
        <w:rPr>
          <w:rFonts w:ascii="Helvetica" w:hAnsi="Helvetica" w:cs="Helvetica"/>
          <w:caps/>
          <w:color w:val="222222"/>
          <w:sz w:val="21"/>
          <w:szCs w:val="21"/>
        </w:rPr>
        <w:t>Кубы :</w:t>
      </w:r>
      <w:proofErr w:type="gramEnd"/>
      <w:r>
        <w:rPr>
          <w:rFonts w:ascii="Helvetica" w:hAnsi="Helvetica" w:cs="Helvetica"/>
          <w:caps/>
          <w:color w:val="222222"/>
          <w:sz w:val="21"/>
          <w:szCs w:val="21"/>
        </w:rPr>
        <w:t xml:space="preserve"> диссертация ... кандидата физико-математических наук : 01.04.12. - Москва, 1985. - 163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6794343" w14:textId="77777777" w:rsidR="00A735E5" w:rsidRDefault="00A735E5" w:rsidP="00A735E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Альварес Гомес, Хосе Леонардо</w:t>
      </w:r>
    </w:p>
    <w:p w14:paraId="35162DB1"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E3BCAA"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РАБОТЫ ПО ИЗУЧЕНИЮ СЕЙСМИЧНОСТИ КУБЫ И МЕТОДОВ ОЦЕНКИ СЕЙСМИЧЕСКОЙ ОПАСНОСТИ.,</w:t>
      </w:r>
    </w:p>
    <w:p w14:paraId="71C985AB"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Развитие сейсмологических исследований на </w:t>
      </w:r>
      <w:proofErr w:type="gramStart"/>
      <w:r>
        <w:rPr>
          <w:rFonts w:ascii="Arial" w:hAnsi="Arial" w:cs="Arial"/>
          <w:color w:val="333333"/>
          <w:sz w:val="21"/>
          <w:szCs w:val="21"/>
        </w:rPr>
        <w:t>Кубе .</w:t>
      </w:r>
      <w:proofErr w:type="gramEnd"/>
      <w:r>
        <w:rPr>
          <w:rFonts w:ascii="Arial" w:hAnsi="Arial" w:cs="Arial"/>
          <w:color w:val="333333"/>
          <w:sz w:val="21"/>
          <w:szCs w:val="21"/>
        </w:rPr>
        <w:t xml:space="preserve"> • • •</w:t>
      </w:r>
    </w:p>
    <w:p w14:paraId="5B19EF00"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Оценка сейсмической </w:t>
      </w:r>
      <w:proofErr w:type="gramStart"/>
      <w:r>
        <w:rPr>
          <w:rFonts w:ascii="Arial" w:hAnsi="Arial" w:cs="Arial"/>
          <w:color w:val="333333"/>
          <w:sz w:val="21"/>
          <w:szCs w:val="21"/>
        </w:rPr>
        <w:t>опасности .</w:t>
      </w:r>
      <w:proofErr w:type="gramEnd"/>
      <w:r>
        <w:rPr>
          <w:rFonts w:ascii="Arial" w:hAnsi="Arial" w:cs="Arial"/>
          <w:color w:val="333333"/>
          <w:sz w:val="21"/>
          <w:szCs w:val="21"/>
        </w:rPr>
        <w:t xml:space="preserve"> ^</w:t>
      </w:r>
    </w:p>
    <w:p w14:paraId="0CF2B2D6"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ИСХОДНЫЕ СЕЙСМОЛОГИЧЕСКИЕ МАТЕРИАЛЫ И СОСТАВЛЕНИЕ КАТАЛОГА ЗЕМЛЕТРЯСЕНИЙ.</w:t>
      </w:r>
    </w:p>
    <w:p w14:paraId="55C37B6E"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Краткое описание использованных источников ••••••</w:t>
      </w:r>
    </w:p>
    <w:p w14:paraId="476313EF"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Затухание макросейсмической интенсивности и модели </w:t>
      </w:r>
      <w:proofErr w:type="gramStart"/>
      <w:r>
        <w:rPr>
          <w:rFonts w:ascii="Arial" w:hAnsi="Arial" w:cs="Arial"/>
          <w:color w:val="333333"/>
          <w:sz w:val="21"/>
          <w:szCs w:val="21"/>
        </w:rPr>
        <w:t>изосейст .</w:t>
      </w:r>
      <w:proofErr w:type="gramEnd"/>
      <w:r>
        <w:rPr>
          <w:rFonts w:ascii="Arial" w:hAnsi="Arial" w:cs="Arial"/>
          <w:color w:val="333333"/>
          <w:sz w:val="21"/>
          <w:szCs w:val="21"/>
        </w:rPr>
        <w:t xml:space="preserve"> . •••••.</w:t>
      </w:r>
    </w:p>
    <w:p w14:paraId="3F00A405"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Описание каталога землетрясений региона за 1551-1961гг ТЕКТОНИЧЕСКАЯ ОБСТАНОВКА И СЕЙСМИЧНОСТЬ КАРИБСКОГО РЕГИОНА. ВЫДЕЛЕНИЕ ЗОН ВОЗ.</w:t>
      </w:r>
    </w:p>
    <w:p w14:paraId="16A138BF"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Обзор основных работ по тектонике и сейсмичности Карибского региона</w:t>
      </w:r>
    </w:p>
    <w:p w14:paraId="420AC490"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Сейсмичность Карибского региона</w:t>
      </w:r>
    </w:p>
    <w:p w14:paraId="3223A599"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механизмах очагов землетрясений Карибской дуги</w:t>
      </w:r>
    </w:p>
    <w:p w14:paraId="1C94BDE5"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Выделение зон ВОЗ в регионе 16° - 24°ш. и 71°</w:t>
      </w:r>
    </w:p>
    <w:p w14:paraId="1145AF78"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з.д.</w:t>
      </w:r>
    </w:p>
    <w:p w14:paraId="396947B1"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ПАРАМЕТРЫ СЕЙСМИЧЕСКОГО РЕЖИМА И ПРОГРАММА ДЛЯ РАСЧЕТА СОТРЯСАЕМОСТИ.</w:t>
      </w:r>
    </w:p>
    <w:p w14:paraId="16F01484"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График повторяемости землетрясений. Оценка параметров для разных зон ВОЗ</w:t>
      </w:r>
    </w:p>
    <w:p w14:paraId="134FBCCF"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Вероятность возникновения сильных землетрясений в Сантьяго-де-Куба.</w:t>
      </w:r>
    </w:p>
    <w:p w14:paraId="750B1528"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Программа для расчета сотрясаемости</w:t>
      </w:r>
    </w:p>
    <w:p w14:paraId="45379611"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Расчеты сотрясаемости Крыма, Восточных Карпат (глубокий очег в горах Вранча) с целью отладки программы . . . • Ю</w:t>
      </w:r>
    </w:p>
    <w:p w14:paraId="0084F1CE"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СЕЙСМИЧЕСКАЯ СОТРЯСАЕМОСТЬ ВОСТОЧНОЙ КУБЫ.П</w:t>
      </w:r>
    </w:p>
    <w:p w14:paraId="073D2755"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Подготовка исходных </w:t>
      </w:r>
      <w:proofErr w:type="gramStart"/>
      <w:r>
        <w:rPr>
          <w:rFonts w:ascii="Arial" w:hAnsi="Arial" w:cs="Arial"/>
          <w:color w:val="333333"/>
          <w:sz w:val="21"/>
          <w:szCs w:val="21"/>
        </w:rPr>
        <w:t>данных.Ц</w:t>
      </w:r>
      <w:proofErr w:type="gramEnd"/>
    </w:p>
    <w:p w14:paraId="501AA3E6"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w:t>
      </w:r>
      <w:proofErr w:type="gramStart"/>
      <w:r>
        <w:rPr>
          <w:rFonts w:ascii="Arial" w:hAnsi="Arial" w:cs="Arial"/>
          <w:color w:val="333333"/>
          <w:sz w:val="21"/>
          <w:szCs w:val="21"/>
        </w:rPr>
        <w:t>« Сотрясаемость</w:t>
      </w:r>
      <w:proofErr w:type="gramEnd"/>
      <w:r>
        <w:rPr>
          <w:rFonts w:ascii="Arial" w:hAnsi="Arial" w:cs="Arial"/>
          <w:color w:val="333333"/>
          <w:sz w:val="21"/>
          <w:szCs w:val="21"/>
        </w:rPr>
        <w:t xml:space="preserve"> Восточной Кубы . Ц</w:t>
      </w:r>
    </w:p>
    <w:p w14:paraId="290E807E" w14:textId="77777777" w:rsidR="00A735E5" w:rsidRDefault="00A735E5" w:rsidP="00A73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устойчивости полученных оценок сотрясаемости</w:t>
      </w:r>
    </w:p>
    <w:p w14:paraId="77FDBE4B" w14:textId="5EB1AFDF" w:rsidR="00410372" w:rsidRPr="00A735E5" w:rsidRDefault="00410372" w:rsidP="00A735E5"/>
    <w:sectPr w:rsidR="00410372" w:rsidRPr="00A735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6C6E" w14:textId="77777777" w:rsidR="00F01E02" w:rsidRDefault="00F01E02">
      <w:pPr>
        <w:spacing w:after="0" w:line="240" w:lineRule="auto"/>
      </w:pPr>
      <w:r>
        <w:separator/>
      </w:r>
    </w:p>
  </w:endnote>
  <w:endnote w:type="continuationSeparator" w:id="0">
    <w:p w14:paraId="79CAF1B6" w14:textId="77777777" w:rsidR="00F01E02" w:rsidRDefault="00F0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53EE" w14:textId="77777777" w:rsidR="00F01E02" w:rsidRDefault="00F01E02"/>
    <w:p w14:paraId="67B9CE1A" w14:textId="77777777" w:rsidR="00F01E02" w:rsidRDefault="00F01E02"/>
    <w:p w14:paraId="5E24AE9C" w14:textId="77777777" w:rsidR="00F01E02" w:rsidRDefault="00F01E02"/>
    <w:p w14:paraId="404B777B" w14:textId="77777777" w:rsidR="00F01E02" w:rsidRDefault="00F01E02"/>
    <w:p w14:paraId="2A33773C" w14:textId="77777777" w:rsidR="00F01E02" w:rsidRDefault="00F01E02"/>
    <w:p w14:paraId="13721290" w14:textId="77777777" w:rsidR="00F01E02" w:rsidRDefault="00F01E02"/>
    <w:p w14:paraId="1A3EE905" w14:textId="77777777" w:rsidR="00F01E02" w:rsidRDefault="00F01E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ADACB3" wp14:editId="07C70F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AE4E" w14:textId="77777777" w:rsidR="00F01E02" w:rsidRDefault="00F01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ADAC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A3AE4E" w14:textId="77777777" w:rsidR="00F01E02" w:rsidRDefault="00F01E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7E1BF6" w14:textId="77777777" w:rsidR="00F01E02" w:rsidRDefault="00F01E02"/>
    <w:p w14:paraId="5303A095" w14:textId="77777777" w:rsidR="00F01E02" w:rsidRDefault="00F01E02"/>
    <w:p w14:paraId="4D34437A" w14:textId="77777777" w:rsidR="00F01E02" w:rsidRDefault="00F01E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B78983" wp14:editId="6E2361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949EE" w14:textId="77777777" w:rsidR="00F01E02" w:rsidRDefault="00F01E02"/>
                          <w:p w14:paraId="0AE5D9F3" w14:textId="77777777" w:rsidR="00F01E02" w:rsidRDefault="00F01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789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8949EE" w14:textId="77777777" w:rsidR="00F01E02" w:rsidRDefault="00F01E02"/>
                    <w:p w14:paraId="0AE5D9F3" w14:textId="77777777" w:rsidR="00F01E02" w:rsidRDefault="00F01E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0D86DE" w14:textId="77777777" w:rsidR="00F01E02" w:rsidRDefault="00F01E02"/>
    <w:p w14:paraId="46FBF3E6" w14:textId="77777777" w:rsidR="00F01E02" w:rsidRDefault="00F01E02">
      <w:pPr>
        <w:rPr>
          <w:sz w:val="2"/>
          <w:szCs w:val="2"/>
        </w:rPr>
      </w:pPr>
    </w:p>
    <w:p w14:paraId="4AC8A50E" w14:textId="77777777" w:rsidR="00F01E02" w:rsidRDefault="00F01E02"/>
    <w:p w14:paraId="0E70F683" w14:textId="77777777" w:rsidR="00F01E02" w:rsidRDefault="00F01E02">
      <w:pPr>
        <w:spacing w:after="0" w:line="240" w:lineRule="auto"/>
      </w:pPr>
    </w:p>
  </w:footnote>
  <w:footnote w:type="continuationSeparator" w:id="0">
    <w:p w14:paraId="5047E0A4" w14:textId="77777777" w:rsidR="00F01E02" w:rsidRDefault="00F0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02"/>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133503</TotalTime>
  <Pages>2</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3489</cp:revision>
  <cp:lastPrinted>2009-02-06T05:36:00Z</cp:lastPrinted>
  <dcterms:created xsi:type="dcterms:W3CDTF">2024-01-07T13:43:00Z</dcterms:created>
  <dcterms:modified xsi:type="dcterms:W3CDTF">2025-07-17T08:37:00Z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