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95" w:rsidRPr="00DD4895" w:rsidRDefault="00DD4895" w:rsidP="00DD489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D4895">
        <w:rPr>
          <w:rFonts w:ascii="Arial" w:hAnsi="Arial" w:cs="Arial"/>
          <w:b/>
          <w:bCs/>
          <w:color w:val="000000"/>
          <w:kern w:val="0"/>
          <w:sz w:val="28"/>
          <w:szCs w:val="28"/>
          <w:lang w:eastAsia="ru-RU"/>
        </w:rPr>
        <w:t>Іщенко Ольга Олегівна</w:t>
      </w:r>
      <w:r w:rsidRPr="00DD4895">
        <w:rPr>
          <w:rFonts w:ascii="Arial" w:hAnsi="Arial" w:cs="Arial"/>
          <w:color w:val="000000"/>
          <w:kern w:val="0"/>
          <w:sz w:val="28"/>
          <w:szCs w:val="28"/>
          <w:lang w:eastAsia="ru-RU"/>
        </w:rPr>
        <w:t xml:space="preserve">, аспірантка Чернівецького національного університету імені Юрія Федьковича, тема дисертації: «Молекулярна організація та таксономічне застосування 5S рибосомної ДНК представників триби Poeae (родина Poaceae)», (091 Біологія). Спеціалізована вчена рада ДФ 76.051.008 в Чернівецькому національному університеті імені Юрія Федьковича </w:t>
      </w:r>
    </w:p>
    <w:p w:rsidR="00C26D80" w:rsidRPr="00DD4895" w:rsidRDefault="00C26D80" w:rsidP="00DD4895"/>
    <w:sectPr w:rsidR="00C26D80" w:rsidRPr="00DD48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DD4895" w:rsidRPr="00DD48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55FFA-11EC-4193-A092-1043C1B8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2021-10-21T12:16:00Z</dcterms:created>
  <dcterms:modified xsi:type="dcterms:W3CDTF">2021-10-21T15:54:00Z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