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E2E1" w14:textId="28D0353E" w:rsidR="000A780E" w:rsidRDefault="00804B2B" w:rsidP="00804B2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Тихонов Дмитрий Викторович. Конституционно-правовые гарантии прав и свобод лиц со специальным статусом в России</w:t>
      </w:r>
      <w:bookmarkEnd w:id="0"/>
      <w:r>
        <w:rPr>
          <w:rFonts w:ascii="Verdana" w:hAnsi="Verdana"/>
          <w:color w:val="000000"/>
          <w:sz w:val="18"/>
          <w:szCs w:val="18"/>
          <w:shd w:val="clear" w:color="auto" w:fill="FFFFFF"/>
        </w:rPr>
        <w:t>: диссертация ... кандидата юридических наук: 12.00.02 / Тихонов Дмитрий Викторович;[Место защиты: Белгородский государственный национальный исследовательский университет - ФГАОУ ВПО].- Белгород, 2015.- 155 с.</w:t>
      </w:r>
    </w:p>
    <w:p w14:paraId="22E5368F" w14:textId="77777777" w:rsidR="00804B2B" w:rsidRPr="00804B2B" w:rsidRDefault="00804B2B" w:rsidP="00804B2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04B2B">
        <w:rPr>
          <w:rFonts w:ascii="Verdana" w:eastAsia="Times New Roman" w:hAnsi="Verdana" w:cs="Times New Roman"/>
          <w:b/>
          <w:bCs/>
          <w:color w:val="AC370B"/>
          <w:kern w:val="0"/>
          <w:sz w:val="23"/>
          <w:szCs w:val="23"/>
          <w:lang w:eastAsia="ru-RU"/>
        </w:rPr>
        <w:t>Содержание к диссертации</w:t>
      </w:r>
    </w:p>
    <w:p w14:paraId="4E6AC844"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Введение</w:t>
      </w:r>
    </w:p>
    <w:p w14:paraId="7191BB02"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04B2B">
        <w:rPr>
          <w:rFonts w:ascii="Verdana" w:eastAsia="Times New Roman" w:hAnsi="Verdana" w:cs="Times New Roman"/>
          <w:b/>
          <w:bCs/>
          <w:color w:val="000000"/>
          <w:kern w:val="0"/>
          <w:sz w:val="18"/>
          <w:szCs w:val="18"/>
          <w:lang w:eastAsia="ru-RU"/>
        </w:rPr>
        <w:t>Глава 1. Доктринирование специального правового статуса личности</w:t>
      </w:r>
    </w:p>
    <w:p w14:paraId="7EC0218D"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1. Правовой статус личности: понятие и структура в контексте смежных категорий</w:t>
      </w:r>
    </w:p>
    <w:p w14:paraId="2BD418BB"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2. Специальный правовой статус личности: дефинитивная и видовая характеристики</w:t>
      </w:r>
    </w:p>
    <w:p w14:paraId="02C5972D"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3. Отражение специальных правовых статусов личности в решениях Конституционного Суда Российской Федерации</w:t>
      </w:r>
    </w:p>
    <w:p w14:paraId="714559A2"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04B2B">
        <w:rPr>
          <w:rFonts w:ascii="Verdana" w:eastAsia="Times New Roman" w:hAnsi="Verdana" w:cs="Times New Roman"/>
          <w:b/>
          <w:bCs/>
          <w:color w:val="000000"/>
          <w:kern w:val="0"/>
          <w:sz w:val="18"/>
          <w:szCs w:val="18"/>
          <w:lang w:eastAsia="ru-RU"/>
        </w:rPr>
        <w:t>Глава 2. Гарантии прав и свобод лиц с отдельными специальными правовыми статусами</w:t>
      </w:r>
    </w:p>
    <w:p w14:paraId="0C8C9637"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1. Гарантии прав и свобод лиц с социально-детерминированным статусом</w:t>
      </w:r>
    </w:p>
    <w:p w14:paraId="086B77DA"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2. Гарантии прав и свобод лиц с ситуативно-детерминированным статусом</w:t>
      </w:r>
    </w:p>
    <w:p w14:paraId="1DE19EB2"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3. Гарантии прав и свобод лиц с процессуально-детерминированным статусом</w:t>
      </w:r>
    </w:p>
    <w:p w14:paraId="7391C47D"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Заключение 124</w:t>
      </w:r>
    </w:p>
    <w:p w14:paraId="3A2BE799" w14:textId="77777777" w:rsidR="00804B2B" w:rsidRPr="00804B2B" w:rsidRDefault="00804B2B" w:rsidP="00804B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04B2B">
        <w:rPr>
          <w:rFonts w:ascii="Verdana" w:eastAsia="Times New Roman" w:hAnsi="Verdana" w:cs="Times New Roman"/>
          <w:color w:val="000000"/>
          <w:kern w:val="0"/>
          <w:sz w:val="18"/>
          <w:szCs w:val="18"/>
          <w:lang w:eastAsia="ru-RU"/>
        </w:rPr>
        <w:t>Список использованной литературы 1</w:t>
      </w:r>
    </w:p>
    <w:p w14:paraId="21CBFD22" w14:textId="77777777" w:rsidR="00804B2B" w:rsidRDefault="00804B2B" w:rsidP="00804B2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9BABC8C"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обусловлена, с одной стороны, выявленным противоречием между систематической практикой обращения к специальным статусам личности и фрагментарностью их доктринальной разработки в конституционно-правовой науке, с другой, – сохраняющейся потребностью в дополнении гарантий общего правового статуса через специальные его разновидности.</w:t>
      </w:r>
    </w:p>
    <w:p w14:paraId="7BE00D5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наряду с определением основ правового статуса личности (ст. 64), его структурных элементов (например, ст. ст. 17, 54, 57 и др.) называет и специальные статусы (например, ст. ст. 38, 39, 49, 52 и др.), давая тем самым импульс для их научно-теоретического развития и нормативно-правовой конкретизации.</w:t>
      </w:r>
    </w:p>
    <w:p w14:paraId="5D6DA61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Помимо этого и само современное общественное развитие стимулирует формализацию специальных статусов личности, содержание которых может быть реализовано посредством соответствующих гарантий.</w:t>
      </w:r>
    </w:p>
    <w:p w14:paraId="5288A8A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Об актуальности проблемы свидетельствуют структура ежегодных и наименования специальных докладов Уполномоченного по правам человека в Российской Федерации.</w:t>
      </w:r>
    </w:p>
    <w:p w14:paraId="5FB9E2C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Так, в ежегодных докладах содержатся разделы о межнациональных проблемах</w:t>
      </w:r>
      <w:r>
        <w:rPr>
          <w:rFonts w:ascii="Verdana" w:hAnsi="Verdana"/>
          <w:color w:val="000000"/>
          <w:sz w:val="18"/>
          <w:szCs w:val="18"/>
          <w:vertAlign w:val="superscript"/>
        </w:rPr>
        <w:t>2</w:t>
      </w:r>
      <w:r>
        <w:rPr>
          <w:rFonts w:ascii="Verdana" w:hAnsi="Verdana"/>
          <w:color w:val="000000"/>
          <w:sz w:val="18"/>
          <w:szCs w:val="18"/>
        </w:rPr>
        <w:t>, определении национальной принадлежности</w:t>
      </w:r>
      <w:r>
        <w:rPr>
          <w:rFonts w:ascii="Verdana" w:hAnsi="Verdana"/>
          <w:color w:val="000000"/>
          <w:sz w:val="18"/>
          <w:szCs w:val="18"/>
          <w:vertAlign w:val="superscript"/>
        </w:rPr>
        <w:t>3</w:t>
      </w:r>
      <w:r>
        <w:rPr>
          <w:rFonts w:ascii="Verdana" w:hAnsi="Verdana"/>
          <w:color w:val="000000"/>
          <w:sz w:val="18"/>
          <w:szCs w:val="18"/>
        </w:rPr>
        <w:t>, правах российских граждан за границей и иностранных граждан в России</w:t>
      </w:r>
      <w:r>
        <w:rPr>
          <w:rFonts w:ascii="Verdana" w:hAnsi="Verdana"/>
          <w:color w:val="000000"/>
          <w:sz w:val="18"/>
          <w:szCs w:val="18"/>
          <w:vertAlign w:val="superscript"/>
        </w:rPr>
        <w:t>4</w:t>
      </w:r>
      <w:r>
        <w:rPr>
          <w:rFonts w:ascii="Verdana" w:hAnsi="Verdana"/>
          <w:color w:val="000000"/>
          <w:sz w:val="18"/>
          <w:szCs w:val="18"/>
        </w:rPr>
        <w:t>, правах человека в местах принудительного содержания</w:t>
      </w: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и др.</w:t>
      </w:r>
    </w:p>
    <w:p w14:paraId="793DF8A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Специальные доклады Уполномоченного по правам человека были посвящены правам детей-</w:t>
      </w:r>
      <w:r>
        <w:rPr>
          <w:rFonts w:ascii="Verdana" w:hAnsi="Verdana"/>
          <w:color w:val="000000"/>
          <w:sz w:val="18"/>
          <w:szCs w:val="18"/>
        </w:rPr>
        <w:lastRenderedPageBreak/>
        <w:t>инвалидов, граждан СССР, переселившихся в Российскую Федерацию из стран СНГ, потерпевших от преступлений и др.</w:t>
      </w:r>
      <w:r>
        <w:rPr>
          <w:rFonts w:ascii="Verdana" w:hAnsi="Verdana"/>
          <w:color w:val="000000"/>
          <w:sz w:val="18"/>
          <w:szCs w:val="18"/>
          <w:vertAlign w:val="superscript"/>
        </w:rPr>
        <w:t>6</w:t>
      </w:r>
    </w:p>
    <w:p w14:paraId="597840D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совокупности приведенные факты подчеркивают актуальность теоретического осмысления юридических гарантий прав и свобод личности, детерминированных многообразными специальными статусами.</w:t>
      </w:r>
    </w:p>
    <w:p w14:paraId="755D01E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Конституция Российской Федерации принята всенародным голосованием 12 декабря 1993 г. (с</w:t>
      </w:r>
      <w:r>
        <w:rPr>
          <w:rFonts w:ascii="Verdana" w:hAnsi="Verdana"/>
          <w:color w:val="000000"/>
          <w:sz w:val="18"/>
          <w:szCs w:val="18"/>
        </w:rPr>
        <w:br/>
        <w:t>учетом поправок, внесенных Законами РФ о поправках к Конституции РФ) // СЗ РФ. – 2014. –</w:t>
      </w:r>
      <w:r>
        <w:rPr>
          <w:rFonts w:ascii="Verdana" w:hAnsi="Verdana"/>
          <w:color w:val="000000"/>
          <w:sz w:val="18"/>
          <w:szCs w:val="18"/>
        </w:rPr>
        <w:br/>
        <w:t>№ 9. – Ст. 851.</w:t>
      </w:r>
    </w:p>
    <w:p w14:paraId="0C1DD2EF"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Доклад Уполномоченного по правам человека в Российской Федерации за 2005 год // Российская</w:t>
      </w:r>
      <w:r>
        <w:rPr>
          <w:rFonts w:ascii="Verdana" w:hAnsi="Verdana"/>
          <w:color w:val="000000"/>
          <w:sz w:val="18"/>
          <w:szCs w:val="18"/>
        </w:rPr>
        <w:br/>
        <w:t>газета. – 2006, 15, 21 и 29 июня.</w:t>
      </w:r>
    </w:p>
    <w:p w14:paraId="6F31C54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Доклад Уполномоченного по правам человека в Российской Федерации за 2011 год // Российская</w:t>
      </w:r>
      <w:r>
        <w:rPr>
          <w:rFonts w:ascii="Verdana" w:hAnsi="Verdana"/>
          <w:color w:val="000000"/>
          <w:sz w:val="18"/>
          <w:szCs w:val="18"/>
        </w:rPr>
        <w:br/>
        <w:t>газета. – 2012, 6 марта.</w:t>
      </w:r>
    </w:p>
    <w:p w14:paraId="636B412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Доклад Уполномоченного по правам человека в Российской Федерации за 2012 год // Российская</w:t>
      </w:r>
      <w:r>
        <w:rPr>
          <w:rFonts w:ascii="Verdana" w:hAnsi="Verdana"/>
          <w:color w:val="000000"/>
          <w:sz w:val="18"/>
          <w:szCs w:val="18"/>
        </w:rPr>
        <w:br/>
        <w:t>газета. – 2013, 29 марта.</w:t>
      </w:r>
    </w:p>
    <w:p w14:paraId="24AFBD9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Доклад Уполномоченного по правам человека в Российской Федерации за 2009 год // Российская</w:t>
      </w:r>
      <w:r>
        <w:rPr>
          <w:rFonts w:ascii="Verdana" w:hAnsi="Verdana"/>
          <w:color w:val="000000"/>
          <w:sz w:val="18"/>
          <w:szCs w:val="18"/>
        </w:rPr>
        <w:br/>
        <w:t>газета. – 2010, 28 мая.</w:t>
      </w:r>
    </w:p>
    <w:p w14:paraId="0509928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См.: доклады Уполномоченного по правам человека в РФ «О соблюдении прав детей-инвалидов</w:t>
      </w:r>
      <w:r>
        <w:rPr>
          <w:rFonts w:ascii="Verdana" w:hAnsi="Verdana"/>
          <w:color w:val="000000"/>
          <w:sz w:val="18"/>
          <w:szCs w:val="18"/>
        </w:rPr>
        <w:br/>
        <w:t>в Российской Федерации» // Официальные документы в образовании. – 2006, № 31; «О практике</w:t>
      </w:r>
      <w:r>
        <w:rPr>
          <w:rFonts w:ascii="Verdana" w:hAnsi="Verdana"/>
          <w:color w:val="000000"/>
          <w:sz w:val="18"/>
          <w:szCs w:val="18"/>
        </w:rPr>
        <w:br/>
        <w:t>изъятия российских паспортов у бывших граждан СССР, переселившихся в Российскую</w:t>
      </w:r>
      <w:r>
        <w:rPr>
          <w:rFonts w:ascii="Verdana" w:hAnsi="Verdana"/>
          <w:color w:val="000000"/>
          <w:sz w:val="18"/>
          <w:szCs w:val="18"/>
        </w:rPr>
        <w:br/>
        <w:t>Федерацию из стран СНГ» // Российская газета. – 2008, 26 января; «Проблемы защиты прав потер</w:t>
      </w:r>
      <w:r>
        <w:rPr>
          <w:rFonts w:ascii="Verdana" w:hAnsi="Verdana"/>
          <w:color w:val="000000"/>
          <w:sz w:val="18"/>
          <w:szCs w:val="18"/>
        </w:rPr>
        <w:br/>
        <w:t>певших от преступлений» // Российская газета. – 2008, 19 апреля.</w:t>
      </w:r>
    </w:p>
    <w:p w14:paraId="5B46961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поддерживается также тем, что в конституционной и теоретико-правовой науках отсутствуют научные разработки, посвященные конституционно-правовым гарантиям прав и свобод лиц со специальным статусом. Исследовательское внимание неоднократно фокусировалось на проблемах, например, конституционных основ гарантирования правового статуса личности в Российской Федерации: (А.А. Чепурнов); сопоставления российского федерализма и правового статуса личности (А.Е. Бочило); юридических гарантий обеспечения правового статуса личности в сфере правосудия (М.Д. Баркинхоев) и правового статуса молодежи (Д.Н. Лызлов). Вместе с тем вопрос конституционно-правовых гарантий прав и свобод лиц со специальным статусом, несмотря на его научно-практическую актуальность и значимость, не составлял объекта самостоятельного диссертационного исследования.</w:t>
      </w:r>
    </w:p>
    <w:p w14:paraId="3DF7C1EC"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Приведенные выше доводы обусловили выбор темы диссертационного исследования, посвященного конституционно-правовому гарантированию прав и свобод лиц со специальным статусом.</w:t>
      </w:r>
    </w:p>
    <w:p w14:paraId="64D759F7"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диссертации</w:t>
      </w:r>
      <w:r>
        <w:rPr>
          <w:rStyle w:val="WW8Num3z0"/>
          <w:rFonts w:ascii="Verdana" w:hAnsi="Verdana"/>
          <w:color w:val="000000"/>
          <w:sz w:val="18"/>
          <w:szCs w:val="18"/>
        </w:rPr>
        <w:t> </w:t>
      </w:r>
      <w:r>
        <w:rPr>
          <w:rFonts w:ascii="Verdana" w:hAnsi="Verdana"/>
          <w:color w:val="000000"/>
          <w:sz w:val="18"/>
          <w:szCs w:val="18"/>
        </w:rPr>
        <w:t>обусловлена значимостью конституционно-правового гарантирования прав и свобод лиц со специальным статусом в России.</w:t>
      </w:r>
    </w:p>
    <w:p w14:paraId="34A353C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lastRenderedPageBreak/>
        <w:t>Среди ученых, разрабатывающих общетеоретические, а также</w:t>
      </w:r>
      <w:r>
        <w:rPr>
          <w:rFonts w:ascii="Verdana" w:hAnsi="Verdana"/>
          <w:color w:val="000000"/>
          <w:sz w:val="18"/>
          <w:szCs w:val="18"/>
        </w:rPr>
        <w:br/>
        <w:t>отраслевые проблемы правового положения или правового статуса личности,</w:t>
      </w:r>
      <w:r>
        <w:rPr>
          <w:rFonts w:ascii="Verdana" w:hAnsi="Verdana"/>
          <w:color w:val="000000"/>
          <w:sz w:val="18"/>
          <w:szCs w:val="18"/>
        </w:rPr>
        <w:br/>
        <w:t>можно указать С.А. Авакьяна, З.С. Байниязову, В.И. Баскова, Н.В. Витрука,</w:t>
      </w:r>
      <w:r>
        <w:rPr>
          <w:rFonts w:ascii="Verdana" w:hAnsi="Verdana"/>
          <w:color w:val="000000"/>
          <w:sz w:val="18"/>
          <w:szCs w:val="18"/>
        </w:rPr>
        <w:br/>
        <w:t>Л.Д. Воеводина, Г.Т. Ермошина, С.В. Лаврентьева, А.И. Лепешкина,</w:t>
      </w:r>
    </w:p>
    <w:p w14:paraId="78D1436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В.И. Селиверстова и др.</w:t>
      </w:r>
    </w:p>
    <w:p w14:paraId="0F14491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Большой вклад в разработку отдельных элементов правового статуса личности внесли ученые: Н.Н. Белякович, А.М. Величко, Л.И. Глухарева, М.А. Громов, П.А. Деревянко, О.Н. Ермолова, И.В. Левакин, Д.И. Луковская, Ю.И. Малевич, В.А. Патюлин, А.С. Рогов, Э.Ю. Соловьев, М.С. Строгович, И.Л. Честнов, В.С. Шевцов, Б.В. Щетинин, М.А. Юнусов, А.Б. Яблонская, др.</w:t>
      </w:r>
    </w:p>
    <w:p w14:paraId="1844124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Вопросы юридических гарантий в видовом многообразии исследованы</w:t>
      </w:r>
      <w:r>
        <w:rPr>
          <w:rFonts w:ascii="Verdana" w:hAnsi="Verdana"/>
          <w:color w:val="000000"/>
          <w:sz w:val="18"/>
          <w:szCs w:val="18"/>
        </w:rPr>
        <w:br/>
        <w:t>в трудах таких авторов, как Л.В. Андриченко, Д.Т. Арабули, О.В. Брежнев,</w:t>
      </w:r>
      <w:r>
        <w:rPr>
          <w:rFonts w:ascii="Verdana" w:hAnsi="Verdana"/>
          <w:color w:val="000000"/>
          <w:sz w:val="18"/>
          <w:szCs w:val="18"/>
        </w:rPr>
        <w:br/>
        <w:t>Н.В.Вечканова, Р.Ш. Гарипов, И.В. Гончаров, А.Д. Гуляков, Т.Г. Дабижа,</w:t>
      </w:r>
      <w:r>
        <w:rPr>
          <w:rFonts w:ascii="Verdana" w:hAnsi="Verdana"/>
          <w:color w:val="000000"/>
          <w:sz w:val="18"/>
          <w:szCs w:val="18"/>
        </w:rPr>
        <w:br/>
        <w:t>Л.З. Дмитриева, Т.Н. Добровольская, С.П. Желтобрюхов, А.В. Зеленов,</w:t>
      </w:r>
      <w:r>
        <w:rPr>
          <w:rFonts w:ascii="Verdana" w:hAnsi="Verdana"/>
          <w:color w:val="000000"/>
          <w:sz w:val="18"/>
          <w:szCs w:val="18"/>
        </w:rPr>
        <w:br/>
        <w:t>В.В. Иванов, А.И. Иерусалимов, В.А. Кряжков, В.А. Лазарева,</w:t>
      </w:r>
    </w:p>
    <w:p w14:paraId="067E065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Л.А. Ломакина, М.В. Мархгейм, В.И. Михайлов, А.Е. Новикова,</w:t>
      </w:r>
    </w:p>
    <w:p w14:paraId="2BC6C5B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П.М. Рабинович, В.А. Ребо, А.А. Серебрякова, Г.В. Федулов, И.С. Чалых, Р.М. Шагеева, А.А. Яшина и др.</w:t>
      </w:r>
    </w:p>
    <w:p w14:paraId="039C1CEF"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выступили общественные отношения, складывающиеся в Российской Федерации по поводу конституционно-правового гарантирования прав и свобод лиц со специальным статусом.</w:t>
      </w:r>
    </w:p>
    <w:p w14:paraId="170E9E52"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составили конституционные и связанные с ними нормы, определяющие в России юридические гарантии прав и свобод лиц со специальным статусом.</w:t>
      </w:r>
    </w:p>
    <w:p w14:paraId="26DC6AAF"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состояла в конституционно-правовом анализе гарантий прав и свобод лиц со специальным статусом с последующей разработкой предложений по их совершенствованию.</w:t>
      </w:r>
    </w:p>
    <w:p w14:paraId="70F58C9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Достижению заявленной цели послужило решение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171EA47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определение понятия и структуры правового статуса личности в контексте смежных категорий;</w:t>
      </w:r>
    </w:p>
    <w:p w14:paraId="0D97500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дефинитивная и видовая характеристики специального правового статуса личности;</w:t>
      </w:r>
    </w:p>
    <w:p w14:paraId="00E4FEC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обобщение порядка отражения специальных правовых статусов личности в решениях Конституционного Суда Российской Федерации;</w:t>
      </w:r>
    </w:p>
    <w:p w14:paraId="6C0DAAB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рассмотрение гарантий прав и свобод лиц с социально-детерминированным статусом;</w:t>
      </w:r>
    </w:p>
    <w:p w14:paraId="635A492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характеристика гарантий прав и свобод лиц с ситуативно-детерминированным статусом;</w:t>
      </w:r>
    </w:p>
    <w:p w14:paraId="19B638E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раскрытие гарантии прав и свобод лиц с процессуально-детерминированным статусом;</w:t>
      </w:r>
    </w:p>
    <w:p w14:paraId="7EB21C4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формулирования предложений, направленных на совершенствование законодательства и правоприменительной практики, касающихся конституционно-правовых гарантий прав и свобод лиц со специальным статусом в России.</w:t>
      </w:r>
    </w:p>
    <w:p w14:paraId="11F2F31C"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 xml:space="preserve">исследования явились общенаучные (исторический, системный и </w:t>
      </w:r>
      <w:r>
        <w:rPr>
          <w:rFonts w:ascii="Verdana" w:hAnsi="Verdana"/>
          <w:color w:val="000000"/>
          <w:sz w:val="18"/>
          <w:szCs w:val="18"/>
        </w:rPr>
        <w:lastRenderedPageBreak/>
        <w:t>формально-логический, анализа, синтеза и др.) и частно-научные</w:t>
      </w:r>
      <w:r>
        <w:rPr>
          <w:rStyle w:val="WW8Num3z0"/>
          <w:rFonts w:ascii="Verdana" w:hAnsi="Verdana"/>
          <w:color w:val="000000"/>
          <w:sz w:val="18"/>
          <w:szCs w:val="18"/>
        </w:rPr>
        <w:t> </w:t>
      </w:r>
      <w:r>
        <w:rPr>
          <w:rStyle w:val="WW8Num2z0"/>
          <w:rFonts w:ascii="Verdana" w:hAnsi="Verdana"/>
          <w:color w:val="000000"/>
          <w:sz w:val="18"/>
          <w:szCs w:val="18"/>
        </w:rPr>
        <w:t>методы</w:t>
      </w:r>
      <w:r>
        <w:rPr>
          <w:rStyle w:val="WW8Num3z0"/>
          <w:rFonts w:ascii="Verdana" w:hAnsi="Verdana"/>
          <w:color w:val="000000"/>
          <w:sz w:val="18"/>
          <w:szCs w:val="18"/>
        </w:rPr>
        <w:t> </w:t>
      </w:r>
      <w:r>
        <w:rPr>
          <w:rFonts w:ascii="Verdana" w:hAnsi="Verdana"/>
          <w:color w:val="000000"/>
          <w:sz w:val="18"/>
          <w:szCs w:val="18"/>
        </w:rPr>
        <w:t>познания правовых явлений и процессов. В ряду второй группы методов применены формально-юридический, историко-правовой, сравнительно-правовой, технико-юридический, что позволило всесторонне рассмотреть заявленный объект, провести обобщающий конституционно-правовой анализ, выработать научные и практические предложения и рекомендации.</w:t>
      </w:r>
    </w:p>
    <w:p w14:paraId="306538A3"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сформирована</w:t>
      </w:r>
      <w:r>
        <w:rPr>
          <w:rFonts w:ascii="Verdana" w:hAnsi="Verdana"/>
          <w:color w:val="000000"/>
          <w:sz w:val="18"/>
          <w:szCs w:val="18"/>
        </w:rPr>
        <w:br/>
        <w:t>с учетом разработок и выводов таких авторов, как Д.Н. Бахрах, Г.А. Борисов,</w:t>
      </w:r>
      <w:r>
        <w:rPr>
          <w:rFonts w:ascii="Verdana" w:hAnsi="Verdana"/>
          <w:color w:val="000000"/>
          <w:sz w:val="18"/>
          <w:szCs w:val="18"/>
        </w:rPr>
        <w:br/>
        <w:t>Л.В. Бутько, А.Б. Венгеров, О.Н. Доронина, В.Д. Зорькин, А.Н. Кокотов,</w:t>
      </w:r>
      <w:r>
        <w:rPr>
          <w:rFonts w:ascii="Verdana" w:hAnsi="Verdana"/>
          <w:color w:val="000000"/>
          <w:sz w:val="18"/>
          <w:szCs w:val="18"/>
        </w:rPr>
        <w:br/>
        <w:t>В.В. Лазарев, Е.А. Лукашева, Е.Г. Лукьянова, А.В. Малько, Н.И. Матузов,</w:t>
      </w:r>
      <w:r>
        <w:rPr>
          <w:rFonts w:ascii="Verdana" w:hAnsi="Verdana"/>
          <w:color w:val="000000"/>
          <w:sz w:val="18"/>
          <w:szCs w:val="18"/>
        </w:rPr>
        <w:br/>
        <w:t>Л.А. Морозова, М.Н. Марченко, С.В. Нарутто, В.С. Нерсесянц,</w:t>
      </w:r>
    </w:p>
    <w:p w14:paraId="363A994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Л.А. Окуньков, Р.А. Ромашов, Ю.Н. Старилов, Е.Е. Тонков, Б.С. Эбзеев, др.</w:t>
      </w:r>
    </w:p>
    <w:p w14:paraId="011757B8"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Правовую</w:t>
      </w:r>
      <w:r>
        <w:rPr>
          <w:rStyle w:val="WW8Num3z0"/>
          <w:rFonts w:ascii="Verdana" w:hAnsi="Verdana"/>
          <w:color w:val="000000"/>
          <w:sz w:val="18"/>
          <w:szCs w:val="18"/>
        </w:rPr>
        <w:t> </w:t>
      </w:r>
      <w:r>
        <w:rPr>
          <w:rStyle w:val="WW8Num2z0"/>
          <w:rFonts w:ascii="Verdana" w:hAnsi="Verdana"/>
          <w:color w:val="000000"/>
          <w:sz w:val="18"/>
          <w:szCs w:val="18"/>
        </w:rPr>
        <w:t>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составили</w:t>
      </w:r>
    </w:p>
    <w:p w14:paraId="778CEB4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1993 г.; федеральные конституционные законы от 28 апреля 1995 г. № 1-ФКЗ «Об арбитражных судах в Российской Федерации», от 23 июня 1999 г. № 1-ФКЗ «О военных судах Российской Федерации», от 30 мая 2001 г. № 3-ФКЗ «О чрезвычайном положении», от 30 января 2002 г. № 1-ФКЗ «О военном положении», от 7 февраля 2011 г.</w:t>
      </w:r>
    </w:p>
    <w:p w14:paraId="742B274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1-ФКЗ «О судах общей юрисдикции в Российской Федерации»; соответствующие нормы гражданского, семейного, уголовно-процессуального, уголовного кодексов Российской Федерации; федеральные законы от 8 мая 1994 г. № 3-ФЗ «О статусе члена Совета Федерации и статусе депутата Государственной Думы Федерального Собрания Российской Федерации», от 21 декабря 1994 г. № 68-ФЗ «О защите населения и территорий от чрезвычайных ситуаций природного и техногенного характера», от 19 мая 1995 г. № 81-ФЗ «О государственных пособиях гражданам, имеющим детей», от 22 августа 1995 г. № 151-ФЗ «Об аварийно-спасательных службах и статусе спасателей», от 24 ноября 1995 г. № 181-ФЗ «О социальной защите инвалидов в Российской Федерации», от 10 января 1996 г. № 6-ФЗ «О дополнительных гарантиях социальной защиты судей и работников аппаратов судов Российской Федерации», от 21 июля 1997 г. № 114-ФЗ «О службе в таможенных органах Российской Федерации», от 21 июля 1997 г. № 116-ФЗ «О промышленной безопасности опасных производственных объектов», от 28 марта 1998 г. № 53-ФЗ «О воинской обязанности и военной службе», от 24 июля 1998 г. № 124-ФЗ «Об основных гарантиях прав ребенка в Российской Федерации», от 30 апреля 1999 г. № 82-ФЗ «О гарантиях прав коренных малочисленных народов Российской Федерации», от 20 июля 2000 г. № 104-ФЗ «Об общих принципах организации общин коренных малочисленных народов Севера, Сибири и Дальнего Востока Российской Федерации», от 11 июля 2001 г. № 95-ФЗ «О политических партиях», от 31 мая 2002 г. № 63-ФЗ «Об адвокатской деятельности и адвокатуре в Российской Федерации», от 27 июля 2004 г. № 79-ФЗ «О государственной гражданской службе Российской Федерации», от 20 августа 2004 г. № 119-ФЗ «О государственной защите потерпевших, свидетелей и иных участников уголовного судопроизводства», от 6 марта 2006 г. № 35-ФЗ «О противодействии терроризму», от 29 декабря 2006 г. № 256-ФЗ «О дополнительных мерах государственной поддержки семей, имеющих детей», от 24 апреля 2008 г. № 48-ФЗ «Об опеке и попечительстве», от 21 ноября 2011 г. № 323-ФЗ «Об основах охраны здоровья граждан в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от 3 марта 2012 г. № 46-ФЗ «О ратификации Конвенции о правах инвалидов», закон РФ от 26 июня 1992 г. № 3132-1 «О статусе судей в Российской Федерации»; подзаконные нормативные правовые акты, законодательство субъектов Российской Федерации, касающиеся регулирования конституционно-правовых гарантий прав и свобод лиц со специальным статусом.</w:t>
      </w:r>
    </w:p>
    <w:p w14:paraId="368E0F5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Проанализированы также международные правовые акты, в содержании которых содержатся соответствующие принципы и нормы.</w:t>
      </w:r>
    </w:p>
    <w:p w14:paraId="02EEE934"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основа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сформирована с учетом политико-правовых актов, судебной практики, аналитических и статистических материалов, имеющих отношение к различным аспектам конституционно-правовых гарантий прав и свобод лиц со специальным статусом.</w:t>
      </w:r>
    </w:p>
    <w:p w14:paraId="227521A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Особую значимость имели итоговые решения Конституционного Суда Российской Федерации, касающиеся исследуемой проблемы.</w:t>
      </w:r>
    </w:p>
    <w:p w14:paraId="029881CD"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диссертации заключается в том, что на основании выполненных соискателем исследований:</w:t>
      </w:r>
    </w:p>
    <w:p w14:paraId="2FB84B3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разработана новая научная идея конституционно-правовых гарантий прав и свобод лиц со специальным статусом, дополняющая понятийный, структурный, содержательный и видовой аспекты института общего правового статуса личности;</w:t>
      </w:r>
    </w:p>
    <w:p w14:paraId="4C29A01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предложены модернизация структуры правового статуса личности; систематизация специальных правовых статусов личности; характеристики ситуативного правового статуса личности; специфические черты гарантий прав лиц с процессуально-детерминированным статусом; законодательные и правоприменительные меры по совершенствованию гарантий специального правового статуса личности;</w:t>
      </w:r>
    </w:p>
    <w:p w14:paraId="73EEBA6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доказана целесообразность наименования в качестве компенсаторных квазинормативых гарантий решений Конституционного Суда Российской Федерации, касающихся специальных правовых статусов личности;</w:t>
      </w:r>
    </w:p>
    <w:p w14:paraId="28715EB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введены в научный оборот авторские трактовки специального правового статуса личности, юридических гарантий общего и специального правовых статусов личности.</w:t>
      </w:r>
    </w:p>
    <w:p w14:paraId="204BDBAA"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w:t>
      </w:r>
      <w:r>
        <w:rPr>
          <w:rStyle w:val="WW8Num3z0"/>
          <w:rFonts w:ascii="Verdana" w:hAnsi="Verdana"/>
          <w:color w:val="000000"/>
          <w:sz w:val="18"/>
          <w:szCs w:val="18"/>
        </w:rPr>
        <w:t> </w:t>
      </w:r>
      <w:r>
        <w:rPr>
          <w:rFonts w:ascii="Verdana" w:hAnsi="Verdana"/>
          <w:color w:val="000000"/>
          <w:sz w:val="18"/>
          <w:szCs w:val="18"/>
        </w:rPr>
        <w:t>следующие</w:t>
      </w:r>
      <w:r>
        <w:rPr>
          <w:rStyle w:val="WW8Num3z0"/>
          <w:rFonts w:ascii="Verdana" w:hAnsi="Verdana"/>
          <w:color w:val="000000"/>
          <w:sz w:val="18"/>
          <w:szCs w:val="18"/>
        </w:rPr>
        <w:t> </w:t>
      </w:r>
      <w:r>
        <w:rPr>
          <w:rStyle w:val="WW8Num2z0"/>
          <w:rFonts w:ascii="Verdana" w:hAnsi="Verdana"/>
          <w:color w:val="000000"/>
          <w:sz w:val="18"/>
          <w:szCs w:val="18"/>
        </w:rPr>
        <w:t>положения</w:t>
      </w:r>
      <w:r>
        <w:rPr>
          <w:rFonts w:ascii="Verdana" w:hAnsi="Verdana"/>
          <w:color w:val="000000"/>
          <w:sz w:val="18"/>
          <w:szCs w:val="18"/>
        </w:rPr>
        <w:t>, обладающие элементами научной новизны.</w:t>
      </w:r>
    </w:p>
    <w:p w14:paraId="1936D74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1. Предложенная автором модернизация структуры правового статуса</w:t>
      </w:r>
      <w:r>
        <w:rPr>
          <w:rFonts w:ascii="Verdana" w:hAnsi="Verdana"/>
          <w:color w:val="000000"/>
          <w:sz w:val="18"/>
          <w:szCs w:val="18"/>
        </w:rPr>
        <w:br/>
        <w:t>личности, включающая три блока:</w:t>
      </w:r>
    </w:p>
    <w:p w14:paraId="67EDCCC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исходный (принципы, гражданство, правосубъектность как имманентные условия полноты и реализации правового положения личности);</w:t>
      </w:r>
    </w:p>
    <w:p w14:paraId="28D5F68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базовый (субъективные права, свободы, обязанности и законные интересы личности, сопряженные с формализацией способов их государственного обеспечения);</w:t>
      </w:r>
    </w:p>
    <w:p w14:paraId="335EE1F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обеспечительный (юридические гарантии и юридическая ответственность (за исключением статутной)).</w:t>
      </w:r>
    </w:p>
    <w:p w14:paraId="5A0FD3E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2. Авторская интерпретация универсальных юридических гарантий об</w:t>
      </w:r>
      <w:r>
        <w:rPr>
          <w:rFonts w:ascii="Verdana" w:hAnsi="Verdana"/>
          <w:color w:val="000000"/>
          <w:sz w:val="18"/>
          <w:szCs w:val="18"/>
        </w:rPr>
        <w:br/>
        <w:t>щего и специального правовых статусов личности, понимаемых как совокуп</w:t>
      </w:r>
      <w:r>
        <w:rPr>
          <w:rFonts w:ascii="Verdana" w:hAnsi="Verdana"/>
          <w:color w:val="000000"/>
          <w:sz w:val="18"/>
          <w:szCs w:val="18"/>
        </w:rPr>
        <w:br/>
        <w:t>ность материальных и процессуальных норм, учреждаемых и функционирую</w:t>
      </w:r>
      <w:r>
        <w:rPr>
          <w:rFonts w:ascii="Verdana" w:hAnsi="Verdana"/>
          <w:color w:val="000000"/>
          <w:sz w:val="18"/>
          <w:szCs w:val="18"/>
        </w:rPr>
        <w:br/>
        <w:t>щих на их основе институтов, в своем единстве создающих позитивные усло</w:t>
      </w:r>
      <w:r>
        <w:rPr>
          <w:rFonts w:ascii="Verdana" w:hAnsi="Verdana"/>
          <w:color w:val="000000"/>
          <w:sz w:val="18"/>
          <w:szCs w:val="18"/>
        </w:rPr>
        <w:br/>
        <w:t>вия реализации данных правовых статусов, включая превентивные и восста</w:t>
      </w:r>
      <w:r>
        <w:rPr>
          <w:rFonts w:ascii="Verdana" w:hAnsi="Verdana"/>
          <w:color w:val="000000"/>
          <w:sz w:val="18"/>
          <w:szCs w:val="18"/>
        </w:rPr>
        <w:br/>
        <w:t>новительные меры.</w:t>
      </w:r>
    </w:p>
    <w:p w14:paraId="2C40A1C7"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3. Авторская трактовка специального правового статуса личности и си</w:t>
      </w:r>
      <w:r>
        <w:rPr>
          <w:rFonts w:ascii="Verdana" w:hAnsi="Verdana"/>
          <w:color w:val="000000"/>
          <w:sz w:val="18"/>
          <w:szCs w:val="18"/>
        </w:rPr>
        <w:br/>
        <w:t>стематизация его разновидностей.</w:t>
      </w:r>
    </w:p>
    <w:p w14:paraId="468B21D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lastRenderedPageBreak/>
        <w:t>Специальный правовой статус личности представляет совокупность исходных, базовых и обеспечительных компонентов, опосредующих специализацию общего правового статуса путем введения дополнительных или элиминирования субъективных прав, свобод, обязанностей и интересов.</w:t>
      </w:r>
    </w:p>
    <w:p w14:paraId="629EFB9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Специальные правовые статусы личности предложено различать в зависимости:</w:t>
      </w:r>
    </w:p>
    <w:p w14:paraId="0825D32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уровня правового регулирования – международный и национальный, последний из которых может быть федеральным и региональным;</w:t>
      </w:r>
    </w:p>
    <w:p w14:paraId="2E23359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количественного критерия – индивидуальный и коллективный;</w:t>
      </w:r>
    </w:p>
    <w:p w14:paraId="17CBF6A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квалификации – профессиональный и непрофессиональный;</w:t>
      </w:r>
    </w:p>
    <w:p w14:paraId="06C2A78F"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отраслевого критерия – политико-, экономико-, социально- и куль-турно(духовно)- детерминированный;</w:t>
      </w:r>
    </w:p>
    <w:p w14:paraId="74A2DD9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временного критерия – постоянный и ситуативный;</w:t>
      </w:r>
    </w:p>
    <w:p w14:paraId="271B85A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оснований возникновения – естественный и формализованный;</w:t>
      </w:r>
    </w:p>
    <w:p w14:paraId="65E3407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от характера определяющих норм – материальный и процессуальный.</w:t>
      </w:r>
    </w:p>
    <w:p w14:paraId="5A2E000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4. Выявленная и обоснованная автором разновидность юридических</w:t>
      </w:r>
      <w:r>
        <w:rPr>
          <w:rFonts w:ascii="Verdana" w:hAnsi="Verdana"/>
          <w:color w:val="000000"/>
          <w:sz w:val="18"/>
          <w:szCs w:val="18"/>
        </w:rPr>
        <w:br/>
        <w:t>гарантий специальных правовых статусов личности, производных от реше</w:t>
      </w:r>
      <w:r>
        <w:rPr>
          <w:rFonts w:ascii="Verdana" w:hAnsi="Verdana"/>
          <w:color w:val="000000"/>
          <w:sz w:val="18"/>
          <w:szCs w:val="18"/>
        </w:rPr>
        <w:br/>
        <w:t>ний Конституционного Суда Российской Федерации и поименованных как</w:t>
      </w:r>
      <w:r>
        <w:rPr>
          <w:rFonts w:ascii="Verdana" w:hAnsi="Verdana"/>
          <w:color w:val="000000"/>
          <w:sz w:val="18"/>
          <w:szCs w:val="18"/>
        </w:rPr>
        <w:br/>
        <w:t>компенсаторные квазинормативые гарантии. Последние способствуют разви</w:t>
      </w:r>
      <w:r>
        <w:rPr>
          <w:rFonts w:ascii="Verdana" w:hAnsi="Verdana"/>
          <w:color w:val="000000"/>
          <w:sz w:val="18"/>
          <w:szCs w:val="18"/>
        </w:rPr>
        <w:br/>
        <w:t>тию отдельных компонентов различных видов специальных правовых стату</w:t>
      </w:r>
      <w:r>
        <w:rPr>
          <w:rFonts w:ascii="Verdana" w:hAnsi="Verdana"/>
          <w:color w:val="000000"/>
          <w:sz w:val="18"/>
          <w:szCs w:val="18"/>
        </w:rPr>
        <w:br/>
        <w:t>сов личности в части:</w:t>
      </w:r>
    </w:p>
    <w:p w14:paraId="31C4201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определения направления дальнейшего совершенствования (путем принятия или изменения законодательства);</w:t>
      </w:r>
    </w:p>
    <w:p w14:paraId="4C0F6BB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временного регулирования общественных отношений, оказавшихся в силу различных причин без должного законодательного внимания;</w:t>
      </w:r>
    </w:p>
    <w:p w14:paraId="06A349A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упорядочения повторяющихся, противоречащих правовых норм;</w:t>
      </w:r>
    </w:p>
    <w:p w14:paraId="414C87A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рассмотрения и разрешения по существу дел правозащитного свойства;</w:t>
      </w:r>
    </w:p>
    <w:p w14:paraId="2FFC9CD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превентивного воздействия на возможные нарушения;</w:t>
      </w:r>
    </w:p>
    <w:p w14:paraId="091973B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унификации правоприменительной деятельности и судебной практики.</w:t>
      </w:r>
    </w:p>
    <w:p w14:paraId="30781EC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5. Характеристики ситуативно-детерминированного специального пра</w:t>
      </w:r>
      <w:r>
        <w:rPr>
          <w:rFonts w:ascii="Verdana" w:hAnsi="Verdana"/>
          <w:color w:val="000000"/>
          <w:sz w:val="18"/>
          <w:szCs w:val="18"/>
        </w:rPr>
        <w:br/>
        <w:t>вового статуса личности, производного от режимов чрезвычайного и военно</w:t>
      </w:r>
      <w:r>
        <w:rPr>
          <w:rFonts w:ascii="Verdana" w:hAnsi="Verdana"/>
          <w:color w:val="000000"/>
          <w:sz w:val="18"/>
          <w:szCs w:val="18"/>
        </w:rPr>
        <w:br/>
        <w:t>го положения, чрезвычайной ситуации, контртеррористической операции. В</w:t>
      </w:r>
      <w:r>
        <w:rPr>
          <w:rFonts w:ascii="Verdana" w:hAnsi="Verdana"/>
          <w:color w:val="000000"/>
          <w:sz w:val="18"/>
          <w:szCs w:val="18"/>
        </w:rPr>
        <w:br/>
        <w:t>их числе выделены:</w:t>
      </w:r>
    </w:p>
    <w:p w14:paraId="0B40703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легализация федеральными конституционными и федеральными законами;</w:t>
      </w:r>
    </w:p>
    <w:p w14:paraId="421E886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опосредованность деструктивными ситуациями различной природы;</w:t>
      </w:r>
    </w:p>
    <w:p w14:paraId="2863089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гуманитарно-правозащитное целеполагание;</w:t>
      </w:r>
    </w:p>
    <w:p w14:paraId="7A4D85C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специфика адресата;</w:t>
      </w:r>
    </w:p>
    <w:p w14:paraId="0B115BD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lastRenderedPageBreak/>
        <w:t>– ограничение субъективных прав и свобод;</w:t>
      </w:r>
    </w:p>
    <w:p w14:paraId="33FC099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возложение дополнительных обязанностей;</w:t>
      </w:r>
    </w:p>
    <w:p w14:paraId="670997B6"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конкретизация имманентно принадлежащих обязанностей;</w:t>
      </w:r>
    </w:p>
    <w:p w14:paraId="760E0C7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введение на определенный срок.</w:t>
      </w:r>
    </w:p>
    <w:p w14:paraId="1401FC6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6. Специфические черты процессуально-детерминированного статуса</w:t>
      </w:r>
      <w:r>
        <w:rPr>
          <w:rFonts w:ascii="Verdana" w:hAnsi="Verdana"/>
          <w:color w:val="000000"/>
          <w:sz w:val="18"/>
          <w:szCs w:val="18"/>
        </w:rPr>
        <w:br/>
        <w:t>лиц, которые:</w:t>
      </w:r>
    </w:p>
    <w:p w14:paraId="2B3D42A7"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применимы к универсальной и индивидуальной его разновидностям;</w:t>
      </w:r>
    </w:p>
    <w:p w14:paraId="6832D9D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легализуются материальными и процессуальными нормами;</w:t>
      </w:r>
    </w:p>
    <w:p w14:paraId="01DBA01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реализуются в рамках формально-определенных стадий, производств, процедур;</w:t>
      </w:r>
    </w:p>
    <w:p w14:paraId="61985DE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адресованы специальным процессуально-формализованным публичным и процессуально-субординированным субъектам.</w:t>
      </w:r>
    </w:p>
    <w:p w14:paraId="2D583E5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7. Предложения, направленные на совершенствование законодатель</w:t>
      </w:r>
      <w:r>
        <w:rPr>
          <w:rFonts w:ascii="Verdana" w:hAnsi="Verdana"/>
          <w:color w:val="000000"/>
          <w:sz w:val="18"/>
          <w:szCs w:val="18"/>
        </w:rPr>
        <w:br/>
        <w:t>ства и правоприменительной практики, связанных со специальными право</w:t>
      </w:r>
      <w:r>
        <w:rPr>
          <w:rFonts w:ascii="Verdana" w:hAnsi="Verdana"/>
          <w:color w:val="000000"/>
          <w:sz w:val="18"/>
          <w:szCs w:val="18"/>
        </w:rPr>
        <w:br/>
        <w:t>выми статусами личности:</w:t>
      </w:r>
    </w:p>
    <w:p w14:paraId="2D5B858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дополнение Федерального конституционного закона от 30 мая 2001 г. № 3-ФКЗ «О чрезвычайном положении» отдельной статьей, посвященной обязанностям граждан Российской Федерации в условиях чрезвычайного положения;</w:t>
      </w:r>
    </w:p>
    <w:p w14:paraId="2B1DD57F"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дополнение в целях конкретизации принципа недискриминации ч. 1 ст. 3 Федерального закона от 24 ноября 1995 г. № 181-ФЗ «О социальной защите инвалидов в Российской Федерации» положением о недопустимости причинения ущерба лицам с физическими или психическими недостатками;</w:t>
      </w:r>
    </w:p>
    <w:p w14:paraId="329439FC"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разработка, принятие и реализация государственной программы занятости лиц с тяжелой степенью инвалидности, предусматривающая различные льготы и субсидии предпринимателям, трудоустраивающим инвалидов;</w:t>
      </w:r>
    </w:p>
    <w:p w14:paraId="7B81520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дополнение Федерального закона от № 68-ФЗ «О защите населения и территорий от чрезвычайных ситуаций природного и техногенного характера» отдельной главой (статьями), которая посвящена гарантиям прав и свобод лиц, пострадавших от чрезвычайной ситуации, а также лиц, участвовавших в ликвидации последствий чрезвычайной ситуации;</w:t>
      </w:r>
    </w:p>
    <w:p w14:paraId="2B34124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введение в ежегодный доклад Уполномоченного по правам человека в Российской Федерации постоянного раздела, посвященного социально- и экономически- детерминированным статусам с упорядочением информации в соответствии со ст. 7 Конституции Российской Федерации.</w:t>
      </w:r>
    </w:p>
    <w:p w14:paraId="07AE423B"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обоснована тем, что:</w:t>
      </w:r>
    </w:p>
    <w:p w14:paraId="432F7E6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доказаны положения, вносящие вклад в расширение представлений об изучаемом явлении;</w:t>
      </w:r>
    </w:p>
    <w:p w14:paraId="10109B92"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изложены концептуальные положения о конституционно-правовых гарантиях прав и свобод применительно к специальным статусам личности в их многообразии;</w:t>
      </w:r>
    </w:p>
    <w:p w14:paraId="682CF05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раскрыты гарантии отдельных специальных правовых статусов (социально-детерминированного, ситуативно-детерминированного, процессуально-детерминированного);</w:t>
      </w:r>
    </w:p>
    <w:p w14:paraId="1F0C9A8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lastRenderedPageBreak/>
        <w:t>– изучено развитие конституционно-правового регулирования юридических гарантий прав и свобод лиц со специальными статусами;</w:t>
      </w:r>
    </w:p>
    <w:p w14:paraId="41905ED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проведена модернизация подхода к структуре правового и специального статусов личности.</w:t>
      </w:r>
    </w:p>
    <w:p w14:paraId="5A925FDA"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выражается в том, что его результаты могут быть использованы в законотворческой и иной нормотворческой деятельности, правоприменительной практике государственных и муниципальных органов, их должностных лиц; при разработке и преподавании конституционного права, теории государства и права, теории правозащитной деятельности, а также при разработке сопряженных с темой учебных и учебно-методических пособий.</w:t>
      </w:r>
    </w:p>
    <w:p w14:paraId="3C740590"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достоверности</w:t>
      </w:r>
      <w:r>
        <w:rPr>
          <w:rStyle w:val="WW8Num3z0"/>
          <w:rFonts w:ascii="Verdana" w:hAnsi="Verdana"/>
          <w:color w:val="000000"/>
          <w:sz w:val="18"/>
          <w:szCs w:val="18"/>
        </w:rPr>
        <w:t> </w:t>
      </w:r>
      <w:r>
        <w:rPr>
          <w:rFonts w:ascii="Verdana" w:hAnsi="Verdana"/>
          <w:color w:val="000000"/>
          <w:sz w:val="18"/>
          <w:szCs w:val="18"/>
        </w:rPr>
        <w:t>проведенного конституционно-правового исследования гарантий прав и свобод лиц со специальным статусом, обоснование и формулирование предложений по совершенствованию законодательства и правоприменительной практики в данной сфере опосредованы использованием научных трудов и применением апробированных методов и методик,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4A063735"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осуществлена в порядке обсуждения и одобрения на заседаниях кафедры конституционного и муниципального права Юридического института НИУ «БелГУ», а также в процессе участия в научно-практических конференциях различных уровней.</w:t>
      </w:r>
    </w:p>
    <w:p w14:paraId="6B80DA8C"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положения которой изложены в 9 научных статьях, 4 из которых опубликованы в российских рецензируемых научных журналах. Общий объем публикаций составил 5 п.л.</w:t>
      </w:r>
    </w:p>
    <w:p w14:paraId="494D1516" w14:textId="77777777" w:rsidR="00804B2B" w:rsidRDefault="00804B2B" w:rsidP="00804B2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обусловлена его целью и задачами, а также логикой развития проблемы и состоит из введения, двух глав, включающих шесть параграфов, заключения и списка использованных правовых источников и литературы.</w:t>
      </w:r>
    </w:p>
    <w:p w14:paraId="2D2EB9F2" w14:textId="77777777" w:rsidR="00804B2B" w:rsidRDefault="00804B2B" w:rsidP="00804B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Специальный правовой статус личности: дефинитивная и видовая характеристики</w:t>
      </w:r>
    </w:p>
    <w:p w14:paraId="74A0414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обращение к проблемам правового статуса личности по-прежнему является актуальным ввиду причин праксиологического и доктринального характера. Первые связаны с тем, что в российском государстве на протяжении нескольких десятилетий советская правовая система сковывала инициативу человека, выступала в качестве фактора отчуждения человека от власти1. Лишь в Конституции Российской Федерации впервые было закреплено установление о высшей ценности человека, его прав и свобод; определены параметры осуществления именно гуманитарно-правовой стратегии (ст.ст. 2 и 18).</w:t>
      </w:r>
    </w:p>
    <w:p w14:paraId="42F5C5E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Аргументы доктринального характера опосредованы непрекращающимися юридическими научными изысканиями, связанными с содержательным наполнением термина «правовой статус личности» и его отграничением от смежных понятий.</w:t>
      </w:r>
    </w:p>
    <w:p w14:paraId="69B6A2F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Уточним, что по своей лингвистической природе status в переводе с латыни буквально означает «положение» или «состояние»2.</w:t>
      </w:r>
    </w:p>
    <w:p w14:paraId="1E96820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xml:space="preserve">Исходя из словарной интерпретации С.И. Ожегова, статус также отождествляется с состоянием или положением3. Безусловно, для простых бытовых отношений не имеет значения разница в содержательном наполнении терминов «состояние», «положение» и «статус». Однако для юридической науки три указанных термина, являются методологическим решением вопросов, </w:t>
      </w:r>
      <w:r>
        <w:rPr>
          <w:rFonts w:ascii="Verdana" w:hAnsi="Verdana"/>
          <w:color w:val="000000"/>
          <w:sz w:val="18"/>
          <w:szCs w:val="18"/>
        </w:rPr>
        <w:lastRenderedPageBreak/>
        <w:t>связанных с формированием правовых институтов (в частности, правового положения личности и правового статуса личности). Несмотря на постоянный интерес к указанным феноменам и их составляющим компонентам, в науке постоянно требуется корректировка имеющихся позиций или поиск обновленных ответов на вызовы современного правозащитного пространства России. С учетом этого в рамках данной части работы обратим внимание на подходы к дефинированию правового статуса и смежных с ним понятий, а также акцентируем внимание на целесообразном, с нашей точки зрения, адресате заявленного статуса (человек, гражданин и личность).</w:t>
      </w:r>
    </w:p>
    <w:p w14:paraId="0F05EA2F"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этой связи уточним, что в Конституции России употребляются только термины «человек» и «гражданин», а «личность» бытует в научной литературе.</w:t>
      </w:r>
    </w:p>
    <w:p w14:paraId="70F5B8A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Права человека – это общесоциальная категория. Таковые складываются объективно в качестве результата развития и совершенствования общественного производства и политической системы как социальные возможности, позволяющих пользоваться разными экономическими, политическими и духовными силами и наличествуют еще до их признания со стороны государства.</w:t>
      </w:r>
    </w:p>
    <w:p w14:paraId="1DBAE07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Правами гражданина выступают права человека, находящиеся под охраной и защитой государства. Они являются формой опосредующей прав человека, признанные со стороны государства и подлежащие его защите1.</w:t>
      </w:r>
    </w:p>
    <w:p w14:paraId="2542662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правами и основными свободами являются юридические возможности, имманентные всем членам гражданского общества. Отличаясь от них, правами и свободами гражданина выступают это те из них, что признаны государством, закреплены в Конституции и законах, а также гарантированы всеми публичными структурами. Термин «личность» объединяет два упомянутых выше обозначения2.</w:t>
      </w:r>
    </w:p>
    <w:p w14:paraId="7F5520E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Соответственно, считаем объективным расценивать в качестве универсального адресата правового статуса именно личность. Опираясь на данный тезис, и осуществлено дальнейшее исследования.</w:t>
      </w:r>
    </w:p>
    <w:p w14:paraId="7FDD50F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Итак, для юридической литературы имманентно многообразие мнений относительно дефиниций правового статуса личности: начиная от его ото 1 Эбзеев Б.С. Конституция. Демократия. Права человека. – М., Черкесск, 1992. – С. 118-120. ждествления с правовым положением личности и заканчивая предложениями по введению вместо него новых понятий. К числу первых следует отнести позицию Н.И. Матузова, который полагает, что нет ни теоретической, ни практической необходимости в разграничении правового положения и статуса. Эти понятия равнозначны и всякие попытки их разграничения выглядят искусственными, неубедительными1.</w:t>
      </w:r>
    </w:p>
    <w:p w14:paraId="6877A2A4"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Радикально мнение З.С. Байниязовой, которая в качестве методологического решения проблемы в заявленной сфере выступает с предложением о введении в научный оборот нового термина «консолидированный правовой статус личности». Это обосновано тем, что за годы, прошедшие после принятия Конституции России, многие ее положения так и не были наполнены реальным содержанием: лозунги приоритетной ценности человека, его прав и свобод как главной цели существования и функционирования государства остаются лозунгами2. До сих пор важное научное и практическое значение имеет проблема восстановления нарушенных прав3. По мнению З.С. Байниязовой, приходит осознание того, что необходимо придать дополнительный импульс современной отечественной юридической доктрине, выявить идеи, способные обеспечить взаимоотношения между личностью и властью с позиций правового государства. Такие идеи и выражает консолидированный правовой статус личности. Концептуальные положения о консолидированном правовом статусе личности, по ее мнению, должны стать составной частью теории правового положения личности4.</w:t>
      </w:r>
    </w:p>
    <w:p w14:paraId="50A74D1C" w14:textId="77777777" w:rsidR="00804B2B" w:rsidRDefault="00804B2B" w:rsidP="00804B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Отражение специальных правовых статусов личности в решениях </w:t>
      </w:r>
      <w:r>
        <w:rPr>
          <w:rFonts w:ascii="Verdana" w:hAnsi="Verdana"/>
          <w:color w:val="AC370B"/>
          <w:sz w:val="23"/>
          <w:szCs w:val="23"/>
        </w:rPr>
        <w:lastRenderedPageBreak/>
        <w:t>Конституционного Суда Российской Федерации</w:t>
      </w:r>
    </w:p>
    <w:p w14:paraId="3D461BB7"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За более чем 20 лет своего существования Конституционный Суд Российской Федерации (далее – Конституционный Суд РФ) кардинально изменил российскую правовую систему – законодательство, правотворчество, правоприменение, правосознание и правовую культуру. Все эти годы Конституционный Суд РФ неуклонно следовал такому толкованию Конституции Российской Федерации и законов, которые в полной мере адекватны прогрессивному пониманию гуманистической сущности государства, служащего человеку, защищающего его права и свободы.</w:t>
      </w:r>
    </w:p>
    <w:p w14:paraId="45A20E9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Слишком обобщенные формулировки российской Конституции, носящей к тому же отпечаток противоречий периода ее принятия, требовали от судей и Суда значительных усилий не только по расширению своих познаний в различных отраслях законодательства, судебной практики органов конституционной юстиции зарубежных стран и международной юрисдикции, но и по выстраиванию таких отношений с органами государственной власти Российской Федерации и ее субъектов, которые позволили ему стать независимым и авторитетным судебным органом2.</w:t>
      </w:r>
    </w:p>
    <w:p w14:paraId="7516081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Под влиянием решений Конституционного Суда Россия продвинулась далеко вперед, глубоко изменив свое законодательство, приведя его в соответствие с международными нормами и существенно улучшив судебную практику.</w:t>
      </w:r>
    </w:p>
    <w:p w14:paraId="69419A1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Не представляя в данном исследовании дискуссионных позиций, уточним, что нами разделяется мнение, в соответствии с которым Конституционный Суд РФ, самостоятельно и независимо осуществляя судебную власть посредством конституционного судопроизводства, участвует в пределах своих полномочий в корректировке нормативно-правового пространства страны. Принимаемые им в процессе отправления конституционного правосудия ито 50 говые решения, обладающие свойствами обязательности и окончательности, выступают в качестве своеобразных источников права, заключая в себе наряду с индивидуальными предписаниями нормативные веления1.</w:t>
      </w:r>
    </w:p>
    <w:p w14:paraId="14C18408"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Конституционный Суд РФ, не являясь законодательным органом, тем не менее принимает важнейшие установления, которые впоследствии трансформируются в полноценные правовые нормы, а также разъясняет и толкует законодательные положения, придавая им более верный и понятный смысл2.</w:t>
      </w:r>
    </w:p>
    <w:p w14:paraId="5EF2DD4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Исходя из данных тезисов, рассмотрим решения Конституционного Суда РФ, которые позитивно влияют на отдельные элементы различных специальных правовых статусов. При этом будем придерживаться предложенной нами выше классификации.</w:t>
      </w:r>
    </w:p>
    <w:p w14:paraId="2620CE3B"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качестве обособленной группы, целесообразно выделение решений Конституционного Суда РФ, которые связаны с коллективным адресатом специального правового статуса – малочисленными народами.</w:t>
      </w:r>
    </w:p>
    <w:p w14:paraId="53947F8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xml:space="preserve">Конституционный Суд РФ касался прав коренных малочисленных народов в контексте рассмотрения более общих и частных вопросов. По поводу первых укажем Постановление от 3 марта 2004 г. № 5-П по делу о проверке конституционности части третьей статьи 5 Федерального закона «О национально-культурной автономии» в связи с жалобой граждан А.Х. Дитца и О.А. Шумахер3. В нем отмечено, что Конституция России, определяя федеративное устройство нашего государства и провозглашая равноправие и самоопределение народов в качестве необходимой основы такого устройства, возлагает на государство – с учетом учрежденного ею разграничения предметов ведения между Российской Федерацией и ее субъектами – обязанность регулировать и защищать права национальных меньшинств, в том числе, коренных малочисленных народов, и предопределяет характер такого регулирования в процессе формирования правовых механизмов обеспечения прав национальных меньшинств. Конституцией также гарантировано равенство всех перед законом и </w:t>
      </w:r>
      <w:r>
        <w:rPr>
          <w:rFonts w:ascii="Verdana" w:hAnsi="Verdana"/>
          <w:color w:val="000000"/>
          <w:sz w:val="18"/>
          <w:szCs w:val="18"/>
        </w:rPr>
        <w:lastRenderedPageBreak/>
        <w:t>судом независимо от национальности и языка и запрет любых форм ограничения прав граждан по признакам национальной и языковой принадлежности. В Базовом законе гарантировано всем народам Российской Федерации право на сохранение родного языка, создание условий для его изучения и развития, а также право каждого определять и указывать свою национальную принадлежность, пользоваться родным языком, свободно выбирать язык общения, воспитания, обучения и творчества. Однако при этом не допускается пропаганда или агитация, которой возбуждаются национальная или религиозная ненависть и вражда, а также пропаганда расового, национального и языкового превосходства.</w:t>
      </w:r>
    </w:p>
    <w:p w14:paraId="02EE476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Что касается частных вопросов относительно заявленных адресатов, то здесь Конституционный Суд РФ1: - по сути, признает и защищает коллективные права общностей, под держивая право на прохождение военной службы в специальных казачьих соединениях и частях Вооруженных Сил Российской Федерации2 и уравни вая в специальных правах и льготах репрессированных в годы тоталитаризма родителей и их несовершеннолетних детей3; - отстаивает принцип равноправия народов, этнических групп и их представителей в тех случаях, когда: а) указывает на недопустимость нормоустановлений субъектов Российской Федерации, которые объявляют своим достоянием (собственностью) природные ресурсы на собственной своей территории и осуществляют такое регулирование отношений собственности на природные ресурсы, ограничивающее их пользование в интересах всех народов Российской Федерации, так как данным нарушается суверенитет России1; б) аннулирует положение Постановления Верховного Совета Северо Осетинской ССР о невозможности совместного проживания граждан различ ной национальной принадлежности как не соответствующее Конституции РФ, Всеобщей декларации прав человека (ст. 2) и Международному пакту о гражданских и политических правах (ч. 1 ст. 2)2; в) снимает ограничения избирательного права на выборах в республи канский парламент для граждан Российской Федерации ингушской нацио нальности, которые были вынуждены покинуть Республику Северная Осетия – Алания и временно пребывающих в Республике Ингушетия3; - признает, что равенством перед законом и судом не исключаются фактические различия и необходимость их учета со стороны законодателя4 и на этой основе – допустимость законных отступлений от общих требований, например в избирательной и социальной сферах5;</w:t>
      </w:r>
    </w:p>
    <w:p w14:paraId="0A36D61A" w14:textId="77777777" w:rsidR="00804B2B" w:rsidRDefault="00804B2B" w:rsidP="00804B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прав и свобод лиц с ситуативно-детерминированным статусом</w:t>
      </w:r>
    </w:p>
    <w:p w14:paraId="74C04B1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Конституцией Российской Федерации (ч. 2, 3 ст. 56 и ст.ст. 87,88) предусматривается возможность введения на всей территории страны или в отдельных ее местностях чрезвычайного и военного положения. Они представляют собой особые правовые режимы деятельности органов государственной власти, органов местного самоуправления, организаций, их должностных лиц, общественных объединений, которые допускают отдельные ограничения прав и свобод граждан, прав юридических лиц, а также возложение на них дополнительных обязанностей. Оба эти правовые режимы представляют собой совокупность временных мер, принимаемых государством и преследующих цель обеспечения безопасности граждан и защиты конституционного строя России2.</w:t>
      </w:r>
    </w:p>
    <w:p w14:paraId="100D58D6"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xml:space="preserve">Заметим, что помимо представленных конституционных норм, данные режимы регламентируются специальным федеральным конституционным за-1 Права человека, резонансные проблемы общества и гражданская активность. По результатам исследования ФОМ «Обеспечение прав человека как важнейший критерий качества жизни». – М., ФОМ. – С. 8. 2 Брежнев О.В. Судебная защита конституционных прав и свобод граждан Российской Федерации в условиях чрезвычайного и военного положения контртеррористической операции2. В данной же связи нами также указывается федеральный закон от 21 декабря 1994 г. № 68-ФЗ «О защите населения и территорий от чрезвычайных ситуаций природного и техногенного характера»3. В ст. 1 приведенного правового акта все-таки предусмотрен режим функционирования органов управления и сил единой государственной системы предупреждения и ликвидации чрезвычайных ситуаций. Это </w:t>
      </w:r>
      <w:r>
        <w:rPr>
          <w:rFonts w:ascii="Verdana" w:hAnsi="Verdana"/>
          <w:color w:val="000000"/>
          <w:sz w:val="18"/>
          <w:szCs w:val="18"/>
        </w:rPr>
        <w:lastRenderedPageBreak/>
        <w:t>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14:paraId="6B15C9CE"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теории права по поводу указанных правовых режимов нет единообразия в интерпретации. Их называют особыми. Такую позицию высказал А.В. Мелехин. Он считает, что особые правовые режимы Российской Федерации устанавливаются через введение в действие норм чрезвычайного законодательства, представляющего собой совокупность нормативных правовых актов различной юридической силы, обладающих внутренним организационным единством и системным характером4. При этом содержание особых правовых режимов определено в федеральном законодательстве о чрезвычайном и военном положении. Иными учеными заявленные режимы именуются как экстраординарные административно-правовые режимы1. В данной связи А.А. Балтовским экстраординарный правовой режим определен как предусмотренные в законе установления, ограничения и организационные мероприятия в рамках отдельных участков государственного управления, которые исключают угрозу для жизненных интересов граждан. В случае же возникновения ситуаций, угрожающих безопасности личности, общества и государства, исчерпывающий перечень которых формализован в законодательстве, - указанные установления, ограничения и организационные мероприятия в рамках отдельных участков государственного управления всемерно способствуют их ликвидации и скорейшему восстановлению нормальной, повседневной жизнедеятельности населения и органов государственного управления2. Режимы военного и чрезвычайного положения, а также правовой режим чрезвычайной ситуации автор расценивает как экстраординарные3.</w:t>
      </w:r>
    </w:p>
    <w:p w14:paraId="3DEBC94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Позиция А.А. Балтовского наиболее приближена к мнению Д.Н. Бахраха и В.Б. Рушайло. Эти ученые экстраординарные правовые режимы определяют как разновидность специальных правовых режимов, а именно особые правовые режимы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безопасности и которая признана зоной чрезвычайной ситуации, зоной вооруженного конфликта, зоной военных действий4. В число экстраординарных В.Б. Рушайло включил правовые режимы военного, чрезвычайного и особого положений. Отдельные авторы заявленные правовые режимы именуют чрезвычайными. К примеру, М.А. Громов считает, что к такому виду правовых режимов относится обособленная часть общей совокупности всех административно-правовых режимов, а именно1: правовой режим контртеррористической операции; особый правовой режим чрезвычайного положения; особый правовой режим военного положения; военное время как чрезвычайный правовой режим.</w:t>
      </w:r>
    </w:p>
    <w:p w14:paraId="1995F3A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На основе представленных конституционно-правовых норм, а также теоретических разработок, мы считаем заявленные режимы целесообразно именовать специальными и относить к таковым: чрезвычайное и военное положение, контртеррористическую операцию и режим, обусловленный чрезвычайной ситуацией.</w:t>
      </w:r>
    </w:p>
    <w:p w14:paraId="28B00F8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силу содержательного многообразия указанных режимов наше дальнейшее исследование выстроим на примере ситуативно-детерминированного правового статуса, приобретаемого лицами при введении чрезвычайного положения или в связи с возникновением чрезвычайной ситуации (данные правовые феномены, безусловно, содержательно сепарированы, но регулируются смежными юридическими нормами).</w:t>
      </w:r>
    </w:p>
    <w:p w14:paraId="054F7B3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xml:space="preserve">Уточним, что в новейшей истории России известны случаи введения чрезвычайного положения. К примеру, Указ Президента РФ от 2 ноября 1992 г. № 1327 ввел с 14 часов 00 минут 2 </w:t>
      </w:r>
      <w:r>
        <w:rPr>
          <w:rFonts w:ascii="Verdana" w:hAnsi="Verdana"/>
          <w:color w:val="000000"/>
          <w:sz w:val="18"/>
          <w:szCs w:val="18"/>
        </w:rPr>
        <w:lastRenderedPageBreak/>
        <w:t>ноября 1992 г. до 14 часов 00 минут 2 декабря 1992 г. чрезвычайное положение на территории СевероОсетинской ССР, а также на территории Ингушской Республики. Такое решение было принято в связи с угрозой безопасности и территориальной целостности Российской Федерации, а также с учетом резкого обострения ситуации на территории Северо-Осетинской ССР и Ингушской Республики. Отмечены массовые беспорядки, межнациональные конфликты, сопровождающиеся насилием с применением оружия и боевой техники и приведшие к 91 вычайное положение было продлено с 14 часов 00 минут 2 декабря 1992 г. до 14 часов 00 минут 30 января 1993 г.1.</w:t>
      </w:r>
    </w:p>
    <w:p w14:paraId="5535CA89"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На основании современных законодательных установлений дан исчерпывающий перечень обстоятельств, которые подразделяются на две группы и являются основаниями для введения чрезвычайного положения (ст. 3 федерального конституционного закона от 30 мая 2001 г. № 3-ФКЗ «О чрезвычайном положении»): - обстоятельства политического и криминогенного характера (угрожающие в первую очередь конституционному строю государства, а затем уже и безопасности граждан). К таковым относят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w:t>
      </w:r>
    </w:p>
    <w:p w14:paraId="0BA7CB68" w14:textId="77777777" w:rsidR="00804B2B" w:rsidRDefault="00804B2B" w:rsidP="00804B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прав и свобод лиц с процессуально-детерминированным статусом</w:t>
      </w:r>
    </w:p>
    <w:p w14:paraId="3F32FBE5"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Предметом обращения гражданина в суд также могут быть нарушения прав граждан должностными лицами, не являющиеся преступлениями, но представляющие собой злоупотребления властью.</w:t>
      </w:r>
    </w:p>
    <w:p w14:paraId="21F652F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Если в отношении потерпевшего от злоупотреблений властью вынесены оправдательный приговор или определение суда, постановление следователя, прокурора, судьи о прекращении дела по предусмотренным законом основаниям, то потерпевший имеет право на возмещение имущественного и устранение последствий морального вреда, причиненного ему незаконным осуждением, содержанием под стражей, отстранением от должности. Размеры и порядок возмещения имущественного вреда определены в законе.</w:t>
      </w:r>
    </w:p>
    <w:p w14:paraId="01DA82B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В ст. 47 Уголовно-процессуального кодекса РФ закреплены основы правового статуса обвиняемого. Заметим, что уже перечисленные универсальные гарантии также относятся к данному статусу, но из индивидуальных гарантий нам хотелось бы обратить внимание на предусмотренное за обвиняемым в совершении преступления право на рассмотрение дела судом с участием присяжных заседателей (ч. 2 ст. 47 Конституции России).</w:t>
      </w:r>
    </w:p>
    <w:p w14:paraId="36D6436F"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На основании действующего федерального законодательства суд с участием присяжных заседателей в Российской Федерации предусмотрен только в рамках уголовного судопроизводства. В соответствии с правилами уголовного судопроизводства уголовное дело об особо тяжком преступлении против жизни, которое отнесено законом к подсудности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по ходатайству обвиняемого подлежит рассмотрению судьей соответствующего суда с участием коллегии из 12 присяжных заседателей (п. 2 ч. 2 ст. 30, ч. 3 ст. 31 Уголовно-процессуального кодекса РФ).</w:t>
      </w:r>
    </w:p>
    <w:p w14:paraId="54E5CAB3"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 xml:space="preserve">Выступая в качестве одной из процессуальных форм реализации уголовного судопроизводства, суд с участием присяжных заседателей не является обязательным условием обеспечения судебной защиты прав и свобод человека и гражданина. Постановление Конституционного Суда РФ признало рассмот 116 рение уголовного дела судом с участием </w:t>
      </w:r>
      <w:r>
        <w:rPr>
          <w:rFonts w:ascii="Verdana" w:hAnsi="Verdana"/>
          <w:color w:val="000000"/>
          <w:sz w:val="18"/>
          <w:szCs w:val="18"/>
        </w:rPr>
        <w:lastRenderedPageBreak/>
        <w:t>присяжных заседателей особой и необходимой уголовно-процессуальной гарантией судебной защиты, которая прямо предусмотрена Конституцией РФ (ч. 2 ст. 20) только в отношении обвиняемого в преступлении, за совершение которого федеральным законодательством установлена исключительная мера наказания – смертная казнь1.</w:t>
      </w:r>
    </w:p>
    <w:p w14:paraId="0E9E098D"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Если по делу несколько обвиняемых, то обратиться с ходатайством о рассмотрении дела судом с участием присяжных заседателей вправе те из них, которые обвиняются в совершении преступлений, отнесенных законом к подсудности этого суда. Отказ одного или нескольких обвиняемых от суда с участием присяжных заседателей возлагает на следователя обязанность по разрешению вопроса о выделении уголовного дела в отношении этих обвиняемых в отдельное производство, если это возможно с учетом обстоятельств дела. Суд при проведении предварительного слушания уголовного дела также правомочен разрешать вопрос, связанный с выделением дела для обеспечения его рассмотрения в отношении этих лиц судом в составе профессиональных судей, если это не препятствует всесторонности и объективности разрешения уголовного дела, рассматриваемого в составе суда с участием присяжных заседателей2. Уголовное дело в целом рассматривается судом с участием присяжных заседателей при невозможности выделения дела.</w:t>
      </w:r>
    </w:p>
    <w:p w14:paraId="5FE11580"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Обеспечение реальной и осознанной возможности обратиться к праву на рассмотрение дела с участием присяжных заседателей связано с тем, что на следователе при ознакомлении обвиняемого с материалами дела после окончания предварительного следствия лежит обязанность не только разъяс-1 Постановление Конституционного Суда РФ от 2 февраля 1999 г. №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ходатайство о таком составе суда, но и ознакомить с жалобами ряда граждан» нить ему право на особенностями соответствующей процедуры рассмотрения уголовных дел, содержанием его прав при ее реализации, порядком обжалования судебного решения (п. 1 ч. 5 ст. 217 Уголовно-процессуального кодекса РФ). Ходатайство о рассмотрении дела с участием присяжных заседателей можно заявить как непосредственно после ознакомления с материалами дела, так и после передачи дела в суд до назначения судебного заседания1.</w:t>
      </w:r>
    </w:p>
    <w:p w14:paraId="5902C0F1"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Согласно ч. 1 ст. 56 Уголовно-процессуального кодекса РФ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Из определения понятия свидетеля в Уголовно-процессуальном кодексе РФ следует, что у него нет интереса в разрешении уголовного дела, поскольку данный участник не относится ни к одной из сторон и не имеет в уголовном процессе собственных интересов. Он привлекается к участию в деле потому, что обладает информацией, которая может способствовать установлению обстоятельств дела и несет обязанность явиться по вызову органа расследования или суда и правдиво ответить на поставленные вопросы2.</w:t>
      </w:r>
    </w:p>
    <w:p w14:paraId="59B0B78A" w14:textId="77777777" w:rsidR="00804B2B" w:rsidRDefault="00804B2B" w:rsidP="00804B2B">
      <w:pPr>
        <w:pStyle w:val="WW8Num1z2"/>
        <w:shd w:val="clear" w:color="auto" w:fill="FFFFFF"/>
        <w:rPr>
          <w:rFonts w:ascii="Verdana" w:hAnsi="Verdana"/>
          <w:color w:val="000000"/>
          <w:sz w:val="18"/>
          <w:szCs w:val="18"/>
        </w:rPr>
      </w:pPr>
      <w:r>
        <w:rPr>
          <w:rFonts w:ascii="Verdana" w:hAnsi="Verdana"/>
          <w:color w:val="000000"/>
          <w:sz w:val="18"/>
          <w:szCs w:val="18"/>
        </w:rPr>
        <w:t>Потребности и, соответственно, интересы свидетеля долгое время не брались в расчет законодателем. В советский период, когда усилия всех государственных органов, включая суд, были направлены на искоренение преступности, права и интересы свидетеля были недостаточно законодательно обеспечены. Современный уровень развития государства и общества обусловили необходимость совершенствования статуса свидетеля путем предоставления ему дополнительных правовых гарантий. Особую значимость этому положению придает то, что на практике распространены случаи, когда свидетели</w:t>
      </w:r>
    </w:p>
    <w:p w14:paraId="5697552D" w14:textId="77777777" w:rsidR="00804B2B" w:rsidRPr="00804B2B" w:rsidRDefault="00804B2B" w:rsidP="00804B2B"/>
    <w:sectPr w:rsidR="00804B2B" w:rsidRPr="00804B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16E66" w14:textId="77777777" w:rsidR="007F10CA" w:rsidRDefault="007F10CA">
      <w:pPr>
        <w:spacing w:after="0" w:line="240" w:lineRule="auto"/>
      </w:pPr>
      <w:r>
        <w:separator/>
      </w:r>
    </w:p>
  </w:endnote>
  <w:endnote w:type="continuationSeparator" w:id="0">
    <w:p w14:paraId="19CFD9D5" w14:textId="77777777" w:rsidR="007F10CA" w:rsidRDefault="007F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F2B5" w14:textId="77777777" w:rsidR="007F10CA" w:rsidRDefault="007F10CA">
      <w:pPr>
        <w:spacing w:after="0" w:line="240" w:lineRule="auto"/>
      </w:pPr>
      <w:r>
        <w:separator/>
      </w:r>
    </w:p>
  </w:footnote>
  <w:footnote w:type="continuationSeparator" w:id="0">
    <w:p w14:paraId="63A9A528" w14:textId="77777777" w:rsidR="007F10CA" w:rsidRDefault="007F1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0CA"/>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29814</TotalTime>
  <Pages>14</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5716</cp:revision>
  <cp:lastPrinted>2009-02-06T05:36:00Z</cp:lastPrinted>
  <dcterms:created xsi:type="dcterms:W3CDTF">2016-09-19T15:12:00Z</dcterms:created>
  <dcterms:modified xsi:type="dcterms:W3CDTF">2017-02-18T08:25:00Z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