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DC3A" w14:textId="357AFC80" w:rsidR="00BC4560" w:rsidRDefault="00AD3653" w:rsidP="00AD365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Карчевський Микола Віталійович. Кримінальна відповідальність за незаконне втручання в роботу електронно- обчислювальних машин (комп'ютерів), систем та комп'ютерних мереж (аналіз складу злочину): дисертація канд. юрид. наук: 12.00.08 / Національна юридична академія України ім. Ярослава Мудрого. - Х., 2003.</w:t>
      </w:r>
    </w:p>
    <w:p w14:paraId="36A432B8" w14:textId="77777777" w:rsidR="00AD3653" w:rsidRPr="00AD3653" w:rsidRDefault="00AD3653" w:rsidP="00AD36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36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Карчевський М.В. </w:t>
      </w:r>
      <w:r w:rsidRPr="00AD3653">
        <w:rPr>
          <w:rFonts w:ascii="Times New Roman" w:eastAsia="Times New Roman" w:hAnsi="Times New Roman" w:cs="Times New Roman"/>
          <w:color w:val="000000"/>
          <w:sz w:val="27"/>
          <w:szCs w:val="27"/>
        </w:rPr>
        <w:t>Кримінальна відповідальність за незаконне втручання в роботу електронно-обчислювальних машин (комп’ютерів), систем та комп’ютерних мереж (аналіз складу злочину). – Рукопис.</w:t>
      </w:r>
    </w:p>
    <w:p w14:paraId="543A9568" w14:textId="77777777" w:rsidR="00AD3653" w:rsidRPr="00AD3653" w:rsidRDefault="00AD3653" w:rsidP="00AD36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365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12.00.08 - кримінальне право та кримінологія; кримінально-виконавче право. - Луганська академія внутрішніх справ МВС імені 10-річчя незалежності України. - Луганськ, 2002.</w:t>
      </w:r>
    </w:p>
    <w:p w14:paraId="6682AB71" w14:textId="77777777" w:rsidR="00AD3653" w:rsidRPr="00AD3653" w:rsidRDefault="00AD3653" w:rsidP="00AD36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3653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досліджуються ознаки складу злочину, передбаченого ст. 361 "Незаконне втручання в роботу електронно-обчислювальних машин (комп’ютерів), систем та комп’ютерних мереж", визначаються критерії його відмежування від суміжних складів та формулюються пропозиції щодо вдосконалення цієї норми.</w:t>
      </w:r>
    </w:p>
    <w:p w14:paraId="3DF80723" w14:textId="77777777" w:rsidR="00AD3653" w:rsidRPr="00AD3653" w:rsidRDefault="00AD3653" w:rsidP="00AD36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3653">
        <w:rPr>
          <w:rFonts w:ascii="Times New Roman" w:eastAsia="Times New Roman" w:hAnsi="Times New Roman" w:cs="Times New Roman"/>
          <w:color w:val="000000"/>
          <w:sz w:val="27"/>
          <w:szCs w:val="27"/>
        </w:rPr>
        <w:t>Обґрунтовується необхідність доповнення ч. 2 ст. 361 КК такими кваліфікуючими ознаками: несанкціонований доступ до комп’ютерної інформації та вчинення незаконного втручання особою, що має доступ до електронно-обчислювальних машин, систем чи комп'ютерних мереж у зв'язку з виконуваною роботою або займаною посадою. Пропонується доповнення статті 361 частиною 3, яка б передбачала відповідальність за незаконне втручання, що спричинило тяжкі наслідки, а також приміткою, яка б містила вказівку на те, що незаконне втручання є повторним у випадку, якщо особа, яка його вчинила, раніше вчинила будь-який із злочинів, передбачених статтями 361 та 362 КК України.</w:t>
      </w:r>
    </w:p>
    <w:p w14:paraId="4A359C35" w14:textId="77777777" w:rsidR="00AD3653" w:rsidRPr="00AD3653" w:rsidRDefault="00AD3653" w:rsidP="00AD3653"/>
    <w:sectPr w:rsidR="00AD3653" w:rsidRPr="00AD36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8D03D" w14:textId="77777777" w:rsidR="00FA0B0E" w:rsidRDefault="00FA0B0E">
      <w:pPr>
        <w:spacing w:after="0" w:line="240" w:lineRule="auto"/>
      </w:pPr>
      <w:r>
        <w:separator/>
      </w:r>
    </w:p>
  </w:endnote>
  <w:endnote w:type="continuationSeparator" w:id="0">
    <w:p w14:paraId="1EA50844" w14:textId="77777777" w:rsidR="00FA0B0E" w:rsidRDefault="00FA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5864A" w14:textId="77777777" w:rsidR="00FA0B0E" w:rsidRDefault="00FA0B0E">
      <w:pPr>
        <w:spacing w:after="0" w:line="240" w:lineRule="auto"/>
      </w:pPr>
      <w:r>
        <w:separator/>
      </w:r>
    </w:p>
  </w:footnote>
  <w:footnote w:type="continuationSeparator" w:id="0">
    <w:p w14:paraId="14C6F929" w14:textId="77777777" w:rsidR="00FA0B0E" w:rsidRDefault="00FA0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0B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0B0E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40817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8188</cp:revision>
  <dcterms:created xsi:type="dcterms:W3CDTF">2024-06-20T08:51:00Z</dcterms:created>
  <dcterms:modified xsi:type="dcterms:W3CDTF">2024-07-31T12:26:00Z</dcterms:modified>
  <cp:category/>
</cp:coreProperties>
</file>