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C00FA" w:rsidRPr="0034460F" w:rsidRDefault="004C00FA" w:rsidP="004C00FA">
      <w:pPr>
        <w:pStyle w:val="20"/>
        <w:keepNext w:val="0"/>
        <w:widowControl w:val="0"/>
        <w:numPr>
          <w:ilvl w:val="0"/>
          <w:numId w:val="0"/>
        </w:numPr>
        <w:spacing w:line="360" w:lineRule="auto"/>
        <w:ind w:left="720" w:right="210" w:firstLine="696"/>
      </w:pPr>
      <w:r>
        <w:rPr>
          <w:color w:val="FF0000"/>
        </w:rPr>
        <w:t xml:space="preserve">Для заказа доставки данной работы воспользуйтесь поиском на сайте по ссылке:  </w:t>
      </w:r>
      <w:hyperlink r:id="rId9" w:history="1">
        <w:r w:rsidRPr="0034460F">
          <w:rPr>
            <w:rStyle w:val="afc"/>
            <w:color w:val="0070C0"/>
          </w:rPr>
          <w:t>http://www.mydisser.com/search.html</w:t>
        </w:r>
      </w:hyperlink>
    </w:p>
    <w:p w:rsidR="006A6786" w:rsidRDefault="006A6786" w:rsidP="006A6786">
      <w:pPr>
        <w:pStyle w:val="4f1"/>
        <w:tabs>
          <w:tab w:val="left" w:leader="dot" w:pos="8789"/>
        </w:tabs>
        <w:spacing w:line="360" w:lineRule="auto"/>
        <w:jc w:val="center"/>
        <w:outlineLvl w:val="3"/>
        <w:rPr>
          <w:rFonts w:ascii="Times New Roman" w:hAnsi="Times New Roman"/>
          <w:szCs w:val="28"/>
        </w:rPr>
      </w:pPr>
      <w:bookmarkStart w:id="0" w:name="_Hlt159839706"/>
      <w:bookmarkEnd w:id="0"/>
      <w:r>
        <w:rPr>
          <w:rFonts w:ascii="Times New Roman" w:hAnsi="Times New Roman"/>
          <w:szCs w:val="28"/>
        </w:rPr>
        <w:t>АКАДЕМІЯ МЕДИЧНИХ НАУК УКРАЇНИ</w:t>
      </w:r>
    </w:p>
    <w:p w:rsidR="006A6786" w:rsidRDefault="006A6786" w:rsidP="006A6786">
      <w:pPr>
        <w:pStyle w:val="4f1"/>
        <w:tabs>
          <w:tab w:val="left" w:leader="dot" w:pos="8789"/>
        </w:tabs>
        <w:spacing w:line="360" w:lineRule="auto"/>
        <w:jc w:val="center"/>
        <w:outlineLvl w:val="3"/>
        <w:rPr>
          <w:rFonts w:ascii="Times New Roman" w:hAnsi="Times New Roman"/>
          <w:szCs w:val="28"/>
        </w:rPr>
      </w:pPr>
      <w:r>
        <w:rPr>
          <w:rFonts w:ascii="Times New Roman" w:hAnsi="Times New Roman"/>
          <w:szCs w:val="28"/>
        </w:rPr>
        <w:t>ДУ „ІНСТИТУТ ТЕРАПІЇ імені Л.Т. МАЛОЇ”</w:t>
      </w:r>
    </w:p>
    <w:p w:rsidR="006A6786" w:rsidRDefault="006A6786" w:rsidP="006A6786">
      <w:pPr>
        <w:pStyle w:val="24"/>
        <w:spacing w:line="360" w:lineRule="auto"/>
        <w:jc w:val="both"/>
        <w:rPr>
          <w:caps/>
          <w:szCs w:val="28"/>
          <w:lang w:val="uk-UA"/>
        </w:rPr>
      </w:pPr>
    </w:p>
    <w:p w:rsidR="006A6786" w:rsidRDefault="006A6786" w:rsidP="006A6786">
      <w:pPr>
        <w:pStyle w:val="24"/>
        <w:spacing w:line="360" w:lineRule="auto"/>
        <w:jc w:val="both"/>
        <w:rPr>
          <w:caps/>
          <w:szCs w:val="28"/>
          <w:lang w:val="uk-UA"/>
        </w:rPr>
      </w:pPr>
    </w:p>
    <w:p w:rsidR="006A6786" w:rsidRDefault="006A6786" w:rsidP="006A6786">
      <w:pPr>
        <w:pStyle w:val="24"/>
        <w:spacing w:line="360" w:lineRule="auto"/>
        <w:jc w:val="right"/>
        <w:rPr>
          <w:szCs w:val="28"/>
          <w:lang w:val="uk-UA"/>
        </w:rPr>
      </w:pPr>
      <w:r>
        <w:rPr>
          <w:szCs w:val="28"/>
          <w:lang w:val="uk-UA"/>
        </w:rPr>
        <w:t>На правах рукопису</w:t>
      </w:r>
    </w:p>
    <w:p w:rsidR="006A6786" w:rsidRDefault="006A6786" w:rsidP="006A6786">
      <w:pPr>
        <w:pStyle w:val="24"/>
        <w:spacing w:line="360" w:lineRule="auto"/>
        <w:jc w:val="right"/>
        <w:rPr>
          <w:szCs w:val="28"/>
          <w:lang w:val="uk-UA"/>
        </w:rPr>
      </w:pPr>
    </w:p>
    <w:p w:rsidR="006A6786" w:rsidRDefault="006A6786" w:rsidP="006A6786">
      <w:pPr>
        <w:pStyle w:val="24"/>
        <w:spacing w:line="360" w:lineRule="auto"/>
        <w:jc w:val="center"/>
        <w:rPr>
          <w:szCs w:val="28"/>
          <w:lang w:val="uk-UA"/>
        </w:rPr>
      </w:pPr>
      <w:r>
        <w:rPr>
          <w:szCs w:val="28"/>
          <w:lang w:val="uk-UA"/>
        </w:rPr>
        <w:t>Гапонова Ольга Григорівна</w:t>
      </w:r>
    </w:p>
    <w:p w:rsidR="006A6786" w:rsidRDefault="006A6786" w:rsidP="006A6786">
      <w:pPr>
        <w:pStyle w:val="24"/>
        <w:spacing w:line="360" w:lineRule="auto"/>
        <w:jc w:val="center"/>
        <w:rPr>
          <w:szCs w:val="28"/>
          <w:lang w:val="uk-UA"/>
        </w:rPr>
      </w:pPr>
    </w:p>
    <w:p w:rsidR="006A6786" w:rsidRDefault="006A6786" w:rsidP="006A6786">
      <w:pPr>
        <w:pStyle w:val="24"/>
        <w:spacing w:line="360" w:lineRule="auto"/>
        <w:jc w:val="right"/>
        <w:rPr>
          <w:szCs w:val="28"/>
          <w:lang w:val="uk-UA"/>
        </w:rPr>
      </w:pPr>
      <w:r>
        <w:rPr>
          <w:szCs w:val="28"/>
          <w:lang w:val="uk-UA"/>
        </w:rPr>
        <w:t>УДК 616.33/.34-092:616-056.52</w:t>
      </w:r>
    </w:p>
    <w:p w:rsidR="006A6786" w:rsidRDefault="006A6786" w:rsidP="006A6786">
      <w:pPr>
        <w:pStyle w:val="24"/>
        <w:spacing w:line="360" w:lineRule="auto"/>
        <w:jc w:val="right"/>
        <w:rPr>
          <w:szCs w:val="28"/>
          <w:lang w:val="uk-UA"/>
        </w:rPr>
      </w:pPr>
    </w:p>
    <w:p w:rsidR="006A6786" w:rsidRDefault="006A6786" w:rsidP="006A6786">
      <w:pPr>
        <w:pStyle w:val="24"/>
        <w:spacing w:line="360" w:lineRule="auto"/>
        <w:jc w:val="center"/>
        <w:rPr>
          <w:caps/>
          <w:szCs w:val="28"/>
          <w:lang w:val="uk-UA"/>
        </w:rPr>
      </w:pPr>
      <w:bookmarkStart w:id="1" w:name="_GoBack"/>
      <w:r>
        <w:rPr>
          <w:caps/>
          <w:szCs w:val="28"/>
          <w:lang w:val="uk-UA"/>
        </w:rPr>
        <w:t xml:space="preserve">Рівні мелатоніну при функціональних розладах </w:t>
      </w:r>
    </w:p>
    <w:p w:rsidR="006A6786" w:rsidRDefault="006A6786" w:rsidP="006A6786">
      <w:pPr>
        <w:pStyle w:val="24"/>
        <w:spacing w:line="360" w:lineRule="auto"/>
        <w:jc w:val="center"/>
        <w:rPr>
          <w:caps/>
          <w:szCs w:val="28"/>
          <w:lang w:val="uk-UA"/>
        </w:rPr>
      </w:pPr>
      <w:r>
        <w:rPr>
          <w:caps/>
          <w:szCs w:val="28"/>
          <w:lang w:val="uk-UA"/>
        </w:rPr>
        <w:t xml:space="preserve">шлунка та кишечника </w:t>
      </w:r>
    </w:p>
    <w:p w:rsidR="006A6786" w:rsidRDefault="006A6786" w:rsidP="006A6786">
      <w:pPr>
        <w:pStyle w:val="24"/>
        <w:spacing w:line="360" w:lineRule="auto"/>
        <w:jc w:val="center"/>
        <w:rPr>
          <w:caps/>
          <w:szCs w:val="28"/>
          <w:lang w:val="uk-UA"/>
        </w:rPr>
      </w:pPr>
      <w:r>
        <w:rPr>
          <w:caps/>
          <w:szCs w:val="28"/>
          <w:lang w:val="uk-UA"/>
        </w:rPr>
        <w:t>у хворих з надлишковою масою тіла</w:t>
      </w:r>
    </w:p>
    <w:bookmarkEnd w:id="1"/>
    <w:p w:rsidR="006A6786" w:rsidRDefault="006A6786" w:rsidP="006A6786">
      <w:pPr>
        <w:pStyle w:val="24"/>
        <w:spacing w:line="360" w:lineRule="auto"/>
        <w:jc w:val="center"/>
        <w:rPr>
          <w:caps/>
          <w:szCs w:val="28"/>
          <w:lang w:val="uk-UA"/>
        </w:rPr>
      </w:pPr>
    </w:p>
    <w:p w:rsidR="006A6786" w:rsidRDefault="006A6786" w:rsidP="006A6786">
      <w:pPr>
        <w:pStyle w:val="24"/>
        <w:spacing w:line="360" w:lineRule="auto"/>
        <w:jc w:val="center"/>
        <w:rPr>
          <w:caps/>
          <w:szCs w:val="28"/>
          <w:lang w:val="uk-UA"/>
        </w:rPr>
      </w:pPr>
    </w:p>
    <w:p w:rsidR="006A6786" w:rsidRDefault="006A6786" w:rsidP="006A6786">
      <w:pPr>
        <w:pStyle w:val="24"/>
        <w:spacing w:line="360" w:lineRule="auto"/>
        <w:jc w:val="center"/>
        <w:rPr>
          <w:szCs w:val="28"/>
          <w:lang w:val="uk-UA"/>
        </w:rPr>
      </w:pPr>
      <w:r>
        <w:rPr>
          <w:szCs w:val="28"/>
          <w:lang w:val="uk-UA"/>
        </w:rPr>
        <w:t>14.01.02 – внутрішні хвороби</w:t>
      </w:r>
    </w:p>
    <w:p w:rsidR="006A6786" w:rsidRDefault="006A6786" w:rsidP="006A6786">
      <w:pPr>
        <w:pStyle w:val="24"/>
        <w:spacing w:line="360" w:lineRule="auto"/>
        <w:jc w:val="both"/>
        <w:rPr>
          <w:szCs w:val="28"/>
          <w:lang w:val="uk-UA"/>
        </w:rPr>
      </w:pPr>
    </w:p>
    <w:p w:rsidR="006A6786" w:rsidRDefault="006A6786" w:rsidP="006A6786">
      <w:pPr>
        <w:pStyle w:val="24"/>
        <w:spacing w:line="360" w:lineRule="auto"/>
        <w:jc w:val="both"/>
        <w:rPr>
          <w:szCs w:val="28"/>
          <w:lang w:val="uk-UA"/>
        </w:rPr>
      </w:pPr>
    </w:p>
    <w:p w:rsidR="006A6786" w:rsidRDefault="006A6786" w:rsidP="006A6786">
      <w:pPr>
        <w:pStyle w:val="24"/>
        <w:spacing w:line="360" w:lineRule="auto"/>
        <w:jc w:val="center"/>
        <w:rPr>
          <w:szCs w:val="28"/>
          <w:lang w:val="uk-UA"/>
        </w:rPr>
      </w:pPr>
      <w:r>
        <w:rPr>
          <w:szCs w:val="28"/>
          <w:lang w:val="uk-UA"/>
        </w:rPr>
        <w:t xml:space="preserve">Дисертація на здобуття наукового ступеня кандидата </w:t>
      </w:r>
    </w:p>
    <w:p w:rsidR="006A6786" w:rsidRDefault="006A6786" w:rsidP="006A6786">
      <w:pPr>
        <w:pStyle w:val="24"/>
        <w:spacing w:line="360" w:lineRule="auto"/>
        <w:jc w:val="center"/>
        <w:rPr>
          <w:szCs w:val="28"/>
          <w:lang w:val="uk-UA"/>
        </w:rPr>
      </w:pPr>
      <w:r>
        <w:rPr>
          <w:szCs w:val="28"/>
          <w:lang w:val="uk-UA"/>
        </w:rPr>
        <w:t>медичних наук</w:t>
      </w:r>
    </w:p>
    <w:p w:rsidR="006A6786" w:rsidRDefault="006A6786" w:rsidP="006A6786">
      <w:pPr>
        <w:pStyle w:val="24"/>
        <w:spacing w:line="360" w:lineRule="auto"/>
        <w:jc w:val="center"/>
        <w:rPr>
          <w:szCs w:val="28"/>
          <w:lang w:val="uk-UA"/>
        </w:rPr>
      </w:pPr>
    </w:p>
    <w:p w:rsidR="006A6786" w:rsidRDefault="006A6786" w:rsidP="006A6786">
      <w:pPr>
        <w:pStyle w:val="24"/>
        <w:spacing w:line="360" w:lineRule="auto"/>
        <w:jc w:val="center"/>
        <w:rPr>
          <w:szCs w:val="28"/>
          <w:lang w:val="uk-UA"/>
        </w:rPr>
      </w:pPr>
    </w:p>
    <w:p w:rsidR="006A6786" w:rsidRDefault="006A6786" w:rsidP="006A6786">
      <w:pPr>
        <w:pStyle w:val="24"/>
        <w:spacing w:line="360" w:lineRule="auto"/>
        <w:jc w:val="center"/>
        <w:rPr>
          <w:szCs w:val="28"/>
          <w:lang w:val="uk-UA"/>
        </w:rPr>
      </w:pPr>
    </w:p>
    <w:tbl>
      <w:tblPr>
        <w:tblW w:w="9828" w:type="dxa"/>
        <w:tblLayout w:type="fixed"/>
        <w:tblLook w:val="0000" w:firstRow="0" w:lastRow="0" w:firstColumn="0" w:lastColumn="0" w:noHBand="0" w:noVBand="0"/>
      </w:tblPr>
      <w:tblGrid>
        <w:gridCol w:w="5508"/>
        <w:gridCol w:w="4320"/>
      </w:tblGrid>
      <w:tr w:rsidR="006A6786" w:rsidTr="0095184B">
        <w:tblPrEx>
          <w:tblCellMar>
            <w:top w:w="0" w:type="dxa"/>
            <w:bottom w:w="0" w:type="dxa"/>
          </w:tblCellMar>
        </w:tblPrEx>
        <w:tc>
          <w:tcPr>
            <w:tcW w:w="5508" w:type="dxa"/>
            <w:tcBorders>
              <w:top w:val="nil"/>
              <w:left w:val="nil"/>
              <w:bottom w:val="nil"/>
              <w:right w:val="nil"/>
            </w:tcBorders>
          </w:tcPr>
          <w:p w:rsidR="006A6786" w:rsidRDefault="006A6786" w:rsidP="0095184B">
            <w:pPr>
              <w:pStyle w:val="affffffff5"/>
              <w:rPr>
                <w:b/>
                <w:szCs w:val="28"/>
                <w:lang w:val="uk-UA"/>
              </w:rPr>
            </w:pPr>
          </w:p>
        </w:tc>
        <w:tc>
          <w:tcPr>
            <w:tcW w:w="4320" w:type="dxa"/>
            <w:tcBorders>
              <w:top w:val="nil"/>
              <w:left w:val="nil"/>
              <w:bottom w:val="nil"/>
              <w:right w:val="nil"/>
            </w:tcBorders>
          </w:tcPr>
          <w:p w:rsidR="006A6786" w:rsidRDefault="006A6786" w:rsidP="0095184B">
            <w:pPr>
              <w:pStyle w:val="50"/>
              <w:rPr>
                <w:szCs w:val="28"/>
              </w:rPr>
            </w:pPr>
            <w:r>
              <w:rPr>
                <w:szCs w:val="28"/>
              </w:rPr>
              <w:t xml:space="preserve">Науковий керівник: </w:t>
            </w:r>
          </w:p>
          <w:p w:rsidR="006A6786" w:rsidRDefault="006A6786" w:rsidP="0095184B">
            <w:pPr>
              <w:spacing w:line="360" w:lineRule="auto"/>
              <w:rPr>
                <w:sz w:val="28"/>
                <w:szCs w:val="28"/>
                <w:lang w:val="uk-UA"/>
              </w:rPr>
            </w:pPr>
            <w:r>
              <w:rPr>
                <w:sz w:val="28"/>
                <w:szCs w:val="28"/>
                <w:lang w:val="uk-UA"/>
              </w:rPr>
              <w:t>Фадєєнко Галина Дмитрівна</w:t>
            </w:r>
          </w:p>
          <w:p w:rsidR="006A6786" w:rsidRDefault="006A6786" w:rsidP="0095184B">
            <w:pPr>
              <w:spacing w:line="360" w:lineRule="auto"/>
              <w:rPr>
                <w:sz w:val="28"/>
                <w:szCs w:val="28"/>
                <w:lang w:val="uk-UA"/>
              </w:rPr>
            </w:pPr>
            <w:r>
              <w:rPr>
                <w:sz w:val="28"/>
                <w:szCs w:val="28"/>
                <w:lang w:val="uk-UA"/>
              </w:rPr>
              <w:t>доктор медичних наук, професор</w:t>
            </w:r>
          </w:p>
        </w:tc>
      </w:tr>
    </w:tbl>
    <w:p w:rsidR="006A6786" w:rsidRDefault="006A6786" w:rsidP="006A6786">
      <w:pPr>
        <w:pStyle w:val="24"/>
        <w:spacing w:line="360" w:lineRule="auto"/>
        <w:jc w:val="both"/>
        <w:rPr>
          <w:caps/>
          <w:szCs w:val="28"/>
          <w:lang w:val="uk-UA"/>
        </w:rPr>
      </w:pPr>
    </w:p>
    <w:p w:rsidR="006A6786" w:rsidRDefault="006A6786" w:rsidP="006A6786">
      <w:pPr>
        <w:pStyle w:val="24"/>
        <w:spacing w:line="360" w:lineRule="auto"/>
        <w:jc w:val="both"/>
        <w:rPr>
          <w:caps/>
          <w:szCs w:val="28"/>
          <w:lang w:val="uk-UA"/>
        </w:rPr>
      </w:pPr>
    </w:p>
    <w:p w:rsidR="006A6786" w:rsidRDefault="006A6786" w:rsidP="006A6786">
      <w:pPr>
        <w:pStyle w:val="24"/>
        <w:spacing w:line="360" w:lineRule="auto"/>
        <w:jc w:val="both"/>
        <w:rPr>
          <w:szCs w:val="28"/>
          <w:lang w:val="uk-UA"/>
        </w:rPr>
      </w:pPr>
    </w:p>
    <w:p w:rsidR="006A6786" w:rsidRDefault="006A6786" w:rsidP="006A6786">
      <w:pPr>
        <w:pStyle w:val="24"/>
        <w:spacing w:line="360" w:lineRule="auto"/>
        <w:jc w:val="center"/>
        <w:rPr>
          <w:szCs w:val="28"/>
          <w:lang w:val="uk-UA"/>
        </w:rPr>
      </w:pPr>
      <w:r>
        <w:rPr>
          <w:szCs w:val="28"/>
          <w:lang w:val="uk-UA"/>
        </w:rPr>
        <w:t>Харків – 2008</w:t>
      </w:r>
    </w:p>
    <w:p w:rsidR="006A6786" w:rsidRDefault="006A6786" w:rsidP="006A6786">
      <w:pPr>
        <w:pStyle w:val="24"/>
        <w:spacing w:line="360" w:lineRule="auto"/>
        <w:jc w:val="center"/>
        <w:rPr>
          <w:b/>
          <w:caps/>
          <w:szCs w:val="28"/>
          <w:lang w:val="uk-UA"/>
        </w:rPr>
      </w:pPr>
      <w:r>
        <w:rPr>
          <w:caps/>
          <w:szCs w:val="28"/>
          <w:lang w:val="uk-UA"/>
        </w:rPr>
        <w:br w:type="page"/>
      </w:r>
      <w:r>
        <w:rPr>
          <w:b/>
          <w:caps/>
          <w:szCs w:val="28"/>
          <w:lang w:val="uk-UA"/>
        </w:rPr>
        <w:lastRenderedPageBreak/>
        <w:t>зміст</w:t>
      </w:r>
    </w:p>
    <w:p w:rsidR="006A6786" w:rsidRDefault="006A6786" w:rsidP="006A6786">
      <w:pPr>
        <w:pStyle w:val="24"/>
        <w:spacing w:line="360" w:lineRule="auto"/>
        <w:jc w:val="both"/>
        <w:rPr>
          <w:b/>
          <w:caps/>
          <w:szCs w:val="28"/>
          <w:lang w:val="uk-UA"/>
        </w:rPr>
      </w:pPr>
    </w:p>
    <w:p w:rsidR="006A6786" w:rsidRDefault="006A6786" w:rsidP="006A6786">
      <w:pPr>
        <w:spacing w:line="360" w:lineRule="auto"/>
        <w:jc w:val="both"/>
        <w:rPr>
          <w:sz w:val="28"/>
          <w:szCs w:val="28"/>
          <w:lang w:val="uk-UA"/>
        </w:rPr>
      </w:pPr>
      <w:r>
        <w:rPr>
          <w:b/>
          <w:caps/>
          <w:sz w:val="28"/>
          <w:szCs w:val="28"/>
          <w:lang w:val="uk-UA"/>
        </w:rPr>
        <w:t>Перелік умовних скорочень</w:t>
      </w:r>
      <w:r>
        <w:rPr>
          <w:sz w:val="28"/>
          <w:szCs w:val="28"/>
          <w:lang w:val="uk-UA"/>
        </w:rPr>
        <w:t>.......................................................................4</w:t>
      </w:r>
    </w:p>
    <w:p w:rsidR="006A6786" w:rsidRDefault="006A6786" w:rsidP="006A6786">
      <w:pPr>
        <w:spacing w:line="360" w:lineRule="auto"/>
        <w:jc w:val="both"/>
        <w:rPr>
          <w:sz w:val="28"/>
          <w:szCs w:val="28"/>
          <w:lang w:val="uk-UA"/>
        </w:rPr>
      </w:pPr>
      <w:r>
        <w:rPr>
          <w:b/>
          <w:caps/>
          <w:sz w:val="28"/>
          <w:szCs w:val="28"/>
          <w:lang w:val="uk-UA"/>
        </w:rPr>
        <w:t>Вступ</w:t>
      </w:r>
      <w:r>
        <w:rPr>
          <w:sz w:val="28"/>
          <w:szCs w:val="28"/>
          <w:lang w:val="uk-UA"/>
        </w:rPr>
        <w:t>.............................................................................................................................5</w:t>
      </w:r>
    </w:p>
    <w:p w:rsidR="006A6786" w:rsidRDefault="006A6786" w:rsidP="006A6786">
      <w:pPr>
        <w:spacing w:line="360" w:lineRule="auto"/>
        <w:jc w:val="both"/>
        <w:rPr>
          <w:b/>
          <w:caps/>
          <w:sz w:val="28"/>
          <w:szCs w:val="28"/>
          <w:lang w:val="uk-UA"/>
        </w:rPr>
      </w:pPr>
      <w:r>
        <w:rPr>
          <w:b/>
          <w:caps/>
          <w:sz w:val="28"/>
          <w:szCs w:val="28"/>
          <w:lang w:val="uk-UA"/>
        </w:rPr>
        <w:t>Розділ 1. Огляд літератури</w:t>
      </w:r>
    </w:p>
    <w:p w:rsidR="006A6786" w:rsidRDefault="006A6786" w:rsidP="00331249">
      <w:pPr>
        <w:numPr>
          <w:ilvl w:val="1"/>
          <w:numId w:val="66"/>
        </w:numPr>
        <w:suppressAutoHyphens w:val="0"/>
        <w:spacing w:line="360" w:lineRule="auto"/>
        <w:ind w:firstLine="709"/>
        <w:jc w:val="both"/>
        <w:rPr>
          <w:sz w:val="28"/>
          <w:szCs w:val="28"/>
          <w:lang w:val="uk-UA"/>
        </w:rPr>
      </w:pPr>
      <w:r>
        <w:rPr>
          <w:sz w:val="28"/>
          <w:szCs w:val="28"/>
          <w:lang w:val="uk-UA"/>
        </w:rPr>
        <w:t>Взаємне обтяження при поєднанні функціональних розладів шлунка та кишечника з надлишковою масою тіла та ожирінням. ........................................13</w:t>
      </w:r>
    </w:p>
    <w:p w:rsidR="006A6786" w:rsidRDefault="006A6786" w:rsidP="00331249">
      <w:pPr>
        <w:numPr>
          <w:ilvl w:val="1"/>
          <w:numId w:val="66"/>
        </w:numPr>
        <w:suppressAutoHyphens w:val="0"/>
        <w:spacing w:line="360" w:lineRule="auto"/>
        <w:ind w:firstLine="709"/>
        <w:jc w:val="both"/>
        <w:rPr>
          <w:sz w:val="28"/>
          <w:szCs w:val="28"/>
          <w:lang w:val="uk-UA"/>
        </w:rPr>
      </w:pPr>
      <w:r>
        <w:rPr>
          <w:sz w:val="28"/>
          <w:szCs w:val="28"/>
          <w:lang w:val="uk-UA"/>
        </w:rPr>
        <w:t>Патогенетичне обґрунтування ролі мелатоніну у хворих на функціональні розлади шлунка та кишечника з надлишковою масою тіла ...........24</w:t>
      </w:r>
    </w:p>
    <w:p w:rsidR="006A6786" w:rsidRDefault="006A6786" w:rsidP="006A6786">
      <w:pPr>
        <w:spacing w:line="360" w:lineRule="auto"/>
        <w:jc w:val="both"/>
        <w:rPr>
          <w:b/>
          <w:caps/>
          <w:sz w:val="28"/>
          <w:szCs w:val="28"/>
          <w:lang w:val="uk-UA"/>
        </w:rPr>
      </w:pPr>
      <w:r>
        <w:rPr>
          <w:b/>
          <w:caps/>
          <w:sz w:val="28"/>
          <w:szCs w:val="28"/>
          <w:lang w:val="uk-UA"/>
        </w:rPr>
        <w:t>Розділ 2. Матеріали і методи дослідження</w:t>
      </w:r>
    </w:p>
    <w:p w:rsidR="006A6786" w:rsidRDefault="006A6786" w:rsidP="00331249">
      <w:pPr>
        <w:numPr>
          <w:ilvl w:val="1"/>
          <w:numId w:val="64"/>
        </w:numPr>
        <w:suppressAutoHyphens w:val="0"/>
        <w:spacing w:line="360" w:lineRule="auto"/>
        <w:ind w:firstLine="709"/>
        <w:jc w:val="both"/>
        <w:rPr>
          <w:sz w:val="28"/>
          <w:szCs w:val="28"/>
          <w:lang w:val="uk-UA"/>
        </w:rPr>
      </w:pPr>
      <w:r>
        <w:rPr>
          <w:sz w:val="28"/>
          <w:szCs w:val="28"/>
          <w:lang w:val="uk-UA"/>
        </w:rPr>
        <w:t>Загальна характеристика обстежених хворих .......................................35</w:t>
      </w:r>
    </w:p>
    <w:p w:rsidR="006A6786" w:rsidRDefault="006A6786" w:rsidP="00331249">
      <w:pPr>
        <w:numPr>
          <w:ilvl w:val="1"/>
          <w:numId w:val="64"/>
        </w:numPr>
        <w:suppressAutoHyphens w:val="0"/>
        <w:spacing w:line="360" w:lineRule="auto"/>
        <w:ind w:firstLine="709"/>
        <w:jc w:val="both"/>
        <w:rPr>
          <w:spacing w:val="-6"/>
          <w:sz w:val="28"/>
          <w:szCs w:val="28"/>
          <w:lang w:val="uk-UA"/>
        </w:rPr>
      </w:pPr>
      <w:r>
        <w:rPr>
          <w:spacing w:val="-6"/>
          <w:sz w:val="28"/>
          <w:szCs w:val="28"/>
          <w:lang w:val="uk-UA"/>
        </w:rPr>
        <w:t>Методи обстеження та статистичної обробки результатів...........................41</w:t>
      </w:r>
    </w:p>
    <w:p w:rsidR="006A6786" w:rsidRDefault="006A6786" w:rsidP="006A6786">
      <w:pPr>
        <w:pStyle w:val="38"/>
        <w:ind w:firstLine="0"/>
        <w:rPr>
          <w:b/>
          <w:caps/>
          <w:szCs w:val="28"/>
          <w:lang w:val="uk-UA"/>
        </w:rPr>
      </w:pPr>
      <w:r>
        <w:rPr>
          <w:b/>
          <w:caps/>
          <w:szCs w:val="28"/>
          <w:lang w:val="uk-UA"/>
        </w:rPr>
        <w:t>Розділ 3. ВИЗНАЧЕННЯ ОСОБЛИВОСТЕЙ ПЕРЕБІГУ функціональних розладів шлунка та кишечника залежно від маси тіла ТА ЇХ ЗВЯЗКУ З ЗАБЕЗПЕЧЕНІСТЮ ОРГАНІЗМУ МЕЛАТОНІНОМ</w:t>
      </w:r>
    </w:p>
    <w:p w:rsidR="006A6786" w:rsidRDefault="006A6786" w:rsidP="00331249">
      <w:pPr>
        <w:pStyle w:val="38"/>
        <w:numPr>
          <w:ilvl w:val="1"/>
          <w:numId w:val="65"/>
        </w:numPr>
        <w:suppressAutoHyphens w:val="0"/>
        <w:spacing w:after="0"/>
        <w:ind w:firstLine="709"/>
        <w:rPr>
          <w:szCs w:val="28"/>
          <w:lang w:val="uk-UA"/>
        </w:rPr>
      </w:pPr>
      <w:r>
        <w:rPr>
          <w:szCs w:val="28"/>
          <w:lang w:val="uk-UA"/>
        </w:rPr>
        <w:t>Характеристика клінічних симптомів та стану кислотоутворюючої функції шлунка у хворих на функціональні розлади шлунка та кишечника залежно від маси тіла....................................................................................................55</w:t>
      </w:r>
    </w:p>
    <w:p w:rsidR="006A6786" w:rsidRDefault="006A6786" w:rsidP="00331249">
      <w:pPr>
        <w:pStyle w:val="38"/>
        <w:numPr>
          <w:ilvl w:val="1"/>
          <w:numId w:val="65"/>
        </w:numPr>
        <w:suppressAutoHyphens w:val="0"/>
        <w:spacing w:after="0"/>
        <w:ind w:firstLine="709"/>
        <w:rPr>
          <w:szCs w:val="28"/>
          <w:lang w:val="uk-UA"/>
        </w:rPr>
      </w:pPr>
      <w:bookmarkStart w:id="2" w:name="OLE_LINK7"/>
      <w:r>
        <w:rPr>
          <w:szCs w:val="28"/>
          <w:lang w:val="uk-UA"/>
        </w:rPr>
        <w:t>Особливості психовегетативних проявів при функціональних розладах шлунка та кишечника у осіб з нормальною та надлишковою масою тіла</w:t>
      </w:r>
      <w:bookmarkEnd w:id="2"/>
      <w:r>
        <w:rPr>
          <w:szCs w:val="28"/>
          <w:lang w:val="uk-UA"/>
        </w:rPr>
        <w:t>...................................................................................................................................66</w:t>
      </w:r>
    </w:p>
    <w:p w:rsidR="006A6786" w:rsidRDefault="006A6786" w:rsidP="00331249">
      <w:pPr>
        <w:pStyle w:val="38"/>
        <w:numPr>
          <w:ilvl w:val="1"/>
          <w:numId w:val="65"/>
        </w:numPr>
        <w:suppressAutoHyphens w:val="0"/>
        <w:spacing w:after="0"/>
        <w:ind w:firstLine="709"/>
        <w:rPr>
          <w:szCs w:val="28"/>
          <w:lang w:val="uk-UA"/>
        </w:rPr>
      </w:pPr>
      <w:r>
        <w:rPr>
          <w:szCs w:val="28"/>
          <w:lang w:val="uk-UA"/>
        </w:rPr>
        <w:t>Зміни концентрації 6-сульфатоксимелатоніну та їх зв’язок з рівнями лептину і загального греліну у хворих на функціональні розлади шлунка та кишечника при нормальній та надлишковій масі тіла.</w:t>
      </w:r>
      <w:r>
        <w:rPr>
          <w:lang w:val="uk-UA"/>
        </w:rPr>
        <w:t xml:space="preserve"> .</w:t>
      </w:r>
      <w:r>
        <w:rPr>
          <w:szCs w:val="28"/>
          <w:lang w:val="uk-UA"/>
        </w:rPr>
        <w:t>...........................................73</w:t>
      </w:r>
    </w:p>
    <w:p w:rsidR="006A6786" w:rsidRDefault="006A6786" w:rsidP="00331249">
      <w:pPr>
        <w:pStyle w:val="38"/>
        <w:numPr>
          <w:ilvl w:val="1"/>
          <w:numId w:val="65"/>
        </w:numPr>
        <w:suppressAutoHyphens w:val="0"/>
        <w:spacing w:after="0"/>
        <w:ind w:firstLine="709"/>
        <w:rPr>
          <w:szCs w:val="28"/>
          <w:lang w:val="uk-UA"/>
        </w:rPr>
      </w:pPr>
      <w:r>
        <w:rPr>
          <w:szCs w:val="28"/>
          <w:lang w:val="uk-UA"/>
        </w:rPr>
        <w:t>Визначення зв’язку та його характеру між особливостями клінічних і психовегетативних проявів функціональних розладів шлунка і кишечника та вмістом 6-сульфатоксимелатоніну, лептину і загального греліну залежно від маси тіла..................................................................................................................................79</w:t>
      </w:r>
    </w:p>
    <w:p w:rsidR="006A6786" w:rsidRDefault="006A6786" w:rsidP="006A6786">
      <w:pPr>
        <w:pStyle w:val="38"/>
        <w:rPr>
          <w:b/>
          <w:szCs w:val="28"/>
          <w:lang w:val="uk-UA"/>
        </w:rPr>
      </w:pPr>
      <w:r>
        <w:rPr>
          <w:b/>
          <w:szCs w:val="28"/>
          <w:lang w:val="uk-UA"/>
        </w:rPr>
        <w:t xml:space="preserve">РОЗДІЛ 4. ОБҐРУНТУВАННЯ ОПТИМІЗАЦІЇ ЛІКУВАННЯ ХВОРИХ </w:t>
      </w:r>
      <w:r>
        <w:rPr>
          <w:b/>
          <w:caps/>
          <w:szCs w:val="28"/>
          <w:lang w:val="uk-UA"/>
        </w:rPr>
        <w:t>НА функціональні розлади шлунка та кишечника</w:t>
      </w:r>
      <w:r>
        <w:rPr>
          <w:b/>
          <w:szCs w:val="28"/>
          <w:lang w:val="uk-UA"/>
        </w:rPr>
        <w:t xml:space="preserve"> З </w:t>
      </w:r>
      <w:r>
        <w:rPr>
          <w:b/>
          <w:caps/>
          <w:szCs w:val="28"/>
          <w:lang w:val="uk-UA"/>
        </w:rPr>
        <w:t>НАДЛИШКОВОЮ масою тіла ЗА</w:t>
      </w:r>
      <w:r>
        <w:rPr>
          <w:b/>
          <w:szCs w:val="28"/>
          <w:lang w:val="uk-UA"/>
        </w:rPr>
        <w:t xml:space="preserve"> ДОПОМОГОЮ ЕКЗОГЕННОГО ПРИЗНАЧЕННЯ МЕЛАТОНІНУ</w:t>
      </w:r>
    </w:p>
    <w:p w:rsidR="006A6786" w:rsidRDefault="006A6786" w:rsidP="00331249">
      <w:pPr>
        <w:pStyle w:val="38"/>
        <w:numPr>
          <w:ilvl w:val="1"/>
          <w:numId w:val="68"/>
        </w:numPr>
        <w:suppressAutoHyphens w:val="0"/>
        <w:spacing w:after="0"/>
        <w:ind w:firstLine="709"/>
        <w:rPr>
          <w:szCs w:val="28"/>
          <w:lang w:val="uk-UA"/>
        </w:rPr>
      </w:pPr>
      <w:bookmarkStart w:id="3" w:name="OLE_LINK2"/>
      <w:r>
        <w:rPr>
          <w:szCs w:val="28"/>
          <w:lang w:val="uk-UA"/>
        </w:rPr>
        <w:lastRenderedPageBreak/>
        <w:t>Дослідження впливу екзогенного призначення мелатоніну на клінічні, психосоматичні прояви і гормональний дисбаланс у хворих на функціональні розлади шлунка та кишечника з надлишковою масою тіла. Оцінка ефективності препарату в ліквідації</w:t>
      </w:r>
      <w:bookmarkEnd w:id="3"/>
      <w:r>
        <w:rPr>
          <w:szCs w:val="28"/>
          <w:lang w:val="uk-UA"/>
        </w:rPr>
        <w:t xml:space="preserve"> виявлених порушень...............................................................85</w:t>
      </w:r>
    </w:p>
    <w:p w:rsidR="006A6786" w:rsidRDefault="006A6786" w:rsidP="00331249">
      <w:pPr>
        <w:pStyle w:val="38"/>
        <w:numPr>
          <w:ilvl w:val="1"/>
          <w:numId w:val="68"/>
        </w:numPr>
        <w:suppressAutoHyphens w:val="0"/>
        <w:spacing w:after="0"/>
        <w:ind w:firstLine="709"/>
        <w:rPr>
          <w:szCs w:val="28"/>
          <w:lang w:val="uk-UA"/>
        </w:rPr>
      </w:pPr>
      <w:r>
        <w:rPr>
          <w:szCs w:val="28"/>
          <w:lang w:val="uk-UA"/>
        </w:rPr>
        <w:t>Аналіз предикторів результатів лікування та причин його недостатньої ефективності...</w:t>
      </w:r>
      <w:r>
        <w:rPr>
          <w:lang w:val="uk-UA"/>
        </w:rPr>
        <w:t>.</w:t>
      </w:r>
      <w:r>
        <w:rPr>
          <w:szCs w:val="28"/>
          <w:lang w:val="uk-UA"/>
        </w:rPr>
        <w:t>......................................................................................100</w:t>
      </w:r>
    </w:p>
    <w:p w:rsidR="006A6786" w:rsidRDefault="006A6786" w:rsidP="006A6786">
      <w:pPr>
        <w:pStyle w:val="38"/>
        <w:ind w:firstLine="0"/>
        <w:rPr>
          <w:szCs w:val="28"/>
          <w:lang w:val="uk-UA"/>
        </w:rPr>
      </w:pPr>
      <w:r>
        <w:rPr>
          <w:b/>
          <w:caps/>
          <w:szCs w:val="28"/>
          <w:lang w:val="uk-UA"/>
        </w:rPr>
        <w:t xml:space="preserve">АНаліз і узагальнення результатів дослідження </w:t>
      </w:r>
      <w:r>
        <w:rPr>
          <w:szCs w:val="28"/>
          <w:lang w:val="uk-UA"/>
        </w:rPr>
        <w:t>...................114</w:t>
      </w:r>
    </w:p>
    <w:p w:rsidR="006A6786" w:rsidRDefault="006A6786" w:rsidP="006A6786">
      <w:pPr>
        <w:pStyle w:val="38"/>
        <w:ind w:firstLine="0"/>
        <w:rPr>
          <w:szCs w:val="28"/>
          <w:lang w:val="uk-UA"/>
        </w:rPr>
      </w:pPr>
      <w:r>
        <w:rPr>
          <w:b/>
          <w:caps/>
          <w:szCs w:val="28"/>
          <w:lang w:val="uk-UA"/>
        </w:rPr>
        <w:t>Висновки</w:t>
      </w:r>
      <w:r>
        <w:rPr>
          <w:lang w:val="uk-UA"/>
        </w:rPr>
        <w:t xml:space="preserve"> .</w:t>
      </w:r>
      <w:r>
        <w:rPr>
          <w:szCs w:val="28"/>
          <w:lang w:val="uk-UA"/>
        </w:rPr>
        <w:t>..............................................................................................................122</w:t>
      </w:r>
    </w:p>
    <w:p w:rsidR="006A6786" w:rsidRDefault="006A6786" w:rsidP="006A6786">
      <w:pPr>
        <w:pStyle w:val="38"/>
        <w:ind w:firstLine="0"/>
        <w:rPr>
          <w:szCs w:val="28"/>
          <w:lang w:val="uk-UA"/>
        </w:rPr>
      </w:pPr>
      <w:r>
        <w:rPr>
          <w:b/>
          <w:caps/>
          <w:szCs w:val="28"/>
          <w:lang w:val="uk-UA"/>
        </w:rPr>
        <w:t>Практичні рекомендації</w:t>
      </w:r>
      <w:r>
        <w:rPr>
          <w:lang w:val="uk-UA"/>
        </w:rPr>
        <w:t xml:space="preserve"> .</w:t>
      </w:r>
      <w:r>
        <w:rPr>
          <w:szCs w:val="28"/>
          <w:lang w:val="uk-UA"/>
        </w:rPr>
        <w:t>...........................................................................124</w:t>
      </w:r>
    </w:p>
    <w:p w:rsidR="006A6786" w:rsidRDefault="006A6786" w:rsidP="006A6786">
      <w:pPr>
        <w:pStyle w:val="38"/>
        <w:ind w:firstLine="0"/>
        <w:rPr>
          <w:szCs w:val="28"/>
          <w:lang w:val="uk-UA"/>
        </w:rPr>
      </w:pPr>
      <w:r>
        <w:rPr>
          <w:b/>
          <w:szCs w:val="28"/>
          <w:lang w:val="uk-UA"/>
        </w:rPr>
        <w:t>ДОДАТКИ</w:t>
      </w:r>
      <w:r>
        <w:rPr>
          <w:szCs w:val="28"/>
          <w:lang w:val="uk-UA"/>
        </w:rPr>
        <w:t xml:space="preserve"> ..................................................................................................................125</w:t>
      </w:r>
    </w:p>
    <w:p w:rsidR="006A6786" w:rsidRDefault="006A6786" w:rsidP="006A6786">
      <w:pPr>
        <w:pStyle w:val="38"/>
        <w:ind w:firstLine="0"/>
        <w:rPr>
          <w:szCs w:val="28"/>
          <w:lang w:val="uk-UA"/>
        </w:rPr>
      </w:pPr>
      <w:r>
        <w:rPr>
          <w:b/>
          <w:caps/>
          <w:szCs w:val="28"/>
          <w:lang w:val="uk-UA"/>
        </w:rPr>
        <w:t>Список використаних джерел</w:t>
      </w:r>
      <w:r>
        <w:rPr>
          <w:lang w:val="uk-UA"/>
        </w:rPr>
        <w:t xml:space="preserve"> .</w:t>
      </w:r>
      <w:r>
        <w:rPr>
          <w:szCs w:val="28"/>
          <w:lang w:val="uk-UA"/>
        </w:rPr>
        <w:t>.............................................................134</w:t>
      </w:r>
    </w:p>
    <w:p w:rsidR="006A6786" w:rsidRDefault="006A6786" w:rsidP="006A6786">
      <w:pPr>
        <w:pStyle w:val="38"/>
        <w:ind w:firstLine="0"/>
        <w:rPr>
          <w:szCs w:val="28"/>
          <w:lang w:val="uk-UA"/>
        </w:rPr>
      </w:pPr>
    </w:p>
    <w:p w:rsidR="006A6786" w:rsidRDefault="006A6786" w:rsidP="006A6786">
      <w:pPr>
        <w:pStyle w:val="24"/>
        <w:spacing w:line="360" w:lineRule="auto"/>
        <w:jc w:val="center"/>
        <w:rPr>
          <w:b/>
          <w:caps/>
          <w:szCs w:val="28"/>
          <w:lang w:val="uk-UA"/>
        </w:rPr>
      </w:pPr>
      <w:r>
        <w:rPr>
          <w:caps/>
          <w:szCs w:val="28"/>
          <w:lang w:val="uk-UA"/>
        </w:rPr>
        <w:br w:type="page"/>
      </w:r>
      <w:r>
        <w:rPr>
          <w:b/>
          <w:caps/>
          <w:szCs w:val="28"/>
          <w:lang w:val="uk-UA"/>
        </w:rPr>
        <w:lastRenderedPageBreak/>
        <w:t>перелік умовних СКОРОЧЕНЬ</w:t>
      </w:r>
    </w:p>
    <w:p w:rsidR="006A6786" w:rsidRDefault="006A6786" w:rsidP="006A6786">
      <w:pPr>
        <w:pStyle w:val="24"/>
        <w:spacing w:line="336" w:lineRule="auto"/>
        <w:jc w:val="both"/>
        <w:rPr>
          <w:b/>
          <w:caps/>
          <w:szCs w:val="28"/>
          <w:lang w:val="uk-UA"/>
        </w:rPr>
      </w:pPr>
    </w:p>
    <w:tbl>
      <w:tblPr>
        <w:tblW w:w="5000" w:type="pct"/>
        <w:tblLook w:val="01E0" w:firstRow="1" w:lastRow="1" w:firstColumn="1" w:lastColumn="1" w:noHBand="0" w:noVBand="0"/>
      </w:tblPr>
      <w:tblGrid>
        <w:gridCol w:w="1575"/>
        <w:gridCol w:w="483"/>
        <w:gridCol w:w="8079"/>
      </w:tblGrid>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6-СОМ</w:t>
            </w:r>
          </w:p>
        </w:tc>
        <w:tc>
          <w:tcPr>
            <w:tcW w:w="238" w:type="pct"/>
          </w:tcPr>
          <w:p w:rsidR="006A6786" w:rsidRDefault="006A6786" w:rsidP="0095184B">
            <w:pPr>
              <w:spacing w:line="312" w:lineRule="auto"/>
              <w:rPr>
                <w:sz w:val="28"/>
                <w:szCs w:val="28"/>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 xml:space="preserve">6-сульфатоксимелатонін </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АБС</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абсолютне значення різниці між ПСТ% та СТ%</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Ал</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алекситимія</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ВНС</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вегетативна нервова система</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ВТ</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вегетативний тонус</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ГЕРХ</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гастроезофагеальна рефлюксна хвороба</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Д</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депресія</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ЕБС</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епігастральний больовий синдром</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ІМТ</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індекс маси тіла</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ІТС</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індекс талія-стегно</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МТ</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маса тіла</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ОС</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об’єм стегон</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ОТ</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об’єм талії</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ОТр</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особистісна тривожність</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ПДС</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постпрандіальний дистрес-синдром</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ПСНС</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парасимпатична нервова система</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ПСТ%</w:t>
            </w:r>
          </w:p>
        </w:tc>
        <w:tc>
          <w:tcPr>
            <w:tcW w:w="238" w:type="pct"/>
          </w:tcPr>
          <w:p w:rsidR="006A6786" w:rsidRDefault="006A6786" w:rsidP="0095184B">
            <w:pPr>
              <w:rPr>
                <w:sz w:val="28"/>
                <w:szCs w:val="28"/>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показник парасимпатичного тонусу, нормований у відсотковому відношенні від його максимального можливого значення</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СНС</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симпатична нервова система</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СПК</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синдром подразненого кишечника</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СПК-Д</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синдром подразненого кишечника з діареєю</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СПК-З</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синдром подразненого кишечника із закрепом</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СТ%</w:t>
            </w:r>
          </w:p>
        </w:tc>
        <w:tc>
          <w:tcPr>
            <w:tcW w:w="238" w:type="pct"/>
          </w:tcPr>
          <w:p w:rsidR="006A6786" w:rsidRDefault="006A6786" w:rsidP="0095184B">
            <w:pPr>
              <w:rPr>
                <w:sz w:val="28"/>
                <w:szCs w:val="28"/>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показник симпатичного тонусу, нормований у відсотковому відношенні від його максимального можливого значення</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СТр</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ситуативна тривожність</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ФД</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функціональна диспепсія</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ФІ</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функціональний інтервал</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ФРШК</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функціональні розлади шлунка та кишечника</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ШКТ</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шлунково-кишковий тракт</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GSRS</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Gastrointestinal Symptom Rating Scale</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H.pylori</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Helicоbacter pylori</w:t>
            </w:r>
          </w:p>
        </w:tc>
      </w:tr>
      <w:tr w:rsidR="006A6786" w:rsidTr="0095184B">
        <w:trPr>
          <w:cantSplit/>
        </w:trPr>
        <w:tc>
          <w:tcPr>
            <w:tcW w:w="777" w:type="pct"/>
          </w:tcPr>
          <w:p w:rsidR="006A6786" w:rsidRDefault="006A6786" w:rsidP="0095184B">
            <w:pPr>
              <w:spacing w:line="312" w:lineRule="auto"/>
              <w:rPr>
                <w:sz w:val="28"/>
                <w:szCs w:val="28"/>
                <w:lang w:val="uk-UA"/>
              </w:rPr>
            </w:pPr>
            <w:r>
              <w:rPr>
                <w:sz w:val="28"/>
                <w:szCs w:val="28"/>
                <w:lang w:val="uk-UA"/>
              </w:rPr>
              <w:t>TAS-20</w:t>
            </w:r>
          </w:p>
        </w:tc>
        <w:tc>
          <w:tcPr>
            <w:tcW w:w="238" w:type="pct"/>
          </w:tcPr>
          <w:p w:rsidR="006A6786" w:rsidRDefault="006A6786" w:rsidP="0095184B">
            <w:pPr>
              <w:rPr>
                <w:lang w:val="uk-UA"/>
              </w:rPr>
            </w:pPr>
            <w:r>
              <w:rPr>
                <w:sz w:val="28"/>
                <w:szCs w:val="28"/>
                <w:lang w:val="uk-UA"/>
              </w:rPr>
              <w:t>–</w:t>
            </w:r>
          </w:p>
        </w:tc>
        <w:tc>
          <w:tcPr>
            <w:tcW w:w="3985" w:type="pct"/>
          </w:tcPr>
          <w:p w:rsidR="006A6786" w:rsidRDefault="006A6786" w:rsidP="0095184B">
            <w:pPr>
              <w:spacing w:line="312" w:lineRule="auto"/>
              <w:rPr>
                <w:sz w:val="28"/>
                <w:szCs w:val="28"/>
                <w:lang w:val="uk-UA"/>
              </w:rPr>
            </w:pPr>
            <w:r>
              <w:rPr>
                <w:sz w:val="28"/>
                <w:szCs w:val="28"/>
                <w:lang w:val="uk-UA"/>
              </w:rPr>
              <w:t>Торонтська алекситимічна шкала</w:t>
            </w:r>
          </w:p>
        </w:tc>
      </w:tr>
    </w:tbl>
    <w:p w:rsidR="006A6786" w:rsidRDefault="006A6786" w:rsidP="006A6786">
      <w:pPr>
        <w:pStyle w:val="24"/>
        <w:spacing w:line="360" w:lineRule="auto"/>
        <w:jc w:val="center"/>
        <w:rPr>
          <w:b/>
          <w:caps/>
          <w:szCs w:val="28"/>
          <w:lang w:val="uk-UA"/>
        </w:rPr>
      </w:pPr>
      <w:r>
        <w:rPr>
          <w:caps/>
          <w:szCs w:val="28"/>
          <w:lang w:val="uk-UA"/>
        </w:rPr>
        <w:br w:type="page"/>
      </w:r>
      <w:r>
        <w:rPr>
          <w:b/>
          <w:caps/>
          <w:szCs w:val="28"/>
          <w:lang w:val="uk-UA"/>
        </w:rPr>
        <w:lastRenderedPageBreak/>
        <w:t>Вступ</w:t>
      </w:r>
    </w:p>
    <w:p w:rsidR="006A6786" w:rsidRDefault="006A6786" w:rsidP="006A6786">
      <w:pPr>
        <w:pStyle w:val="24"/>
        <w:spacing w:line="360" w:lineRule="auto"/>
        <w:jc w:val="both"/>
        <w:rPr>
          <w:caps/>
          <w:szCs w:val="28"/>
          <w:lang w:val="uk-UA"/>
        </w:rPr>
      </w:pPr>
    </w:p>
    <w:p w:rsidR="006A6786" w:rsidRDefault="006A6786" w:rsidP="006A6786">
      <w:pPr>
        <w:pStyle w:val="24"/>
        <w:spacing w:line="360" w:lineRule="auto"/>
        <w:jc w:val="both"/>
        <w:rPr>
          <w:b/>
          <w:szCs w:val="28"/>
          <w:lang w:val="uk-UA"/>
        </w:rPr>
      </w:pPr>
      <w:r>
        <w:rPr>
          <w:b/>
          <w:szCs w:val="28"/>
          <w:lang w:val="uk-UA"/>
        </w:rPr>
        <w:t>Актуальність теми</w:t>
      </w:r>
    </w:p>
    <w:p w:rsidR="006A6786" w:rsidRDefault="006A6786" w:rsidP="006A6786">
      <w:pPr>
        <w:pStyle w:val="24"/>
        <w:spacing w:line="360" w:lineRule="auto"/>
        <w:jc w:val="both"/>
        <w:rPr>
          <w:szCs w:val="28"/>
          <w:lang w:val="uk-UA"/>
        </w:rPr>
      </w:pPr>
      <w:r>
        <w:rPr>
          <w:szCs w:val="28"/>
          <w:lang w:val="uk-UA"/>
        </w:rPr>
        <w:t xml:space="preserve">Функціональні порушення органів травлення є великою гетерогенною групою захворювань, що розглядаються як клінічний результат взаємодії психосоціальних факторів та фізіології шлунково-кишкового тракту (ШКТ) через вісь „мозок-травний канал” </w:t>
      </w:r>
      <w:r>
        <w:rPr>
          <w:bCs/>
          <w:szCs w:val="28"/>
          <w:lang w:val="uk-UA"/>
        </w:rPr>
        <w:t>[</w:t>
      </w:r>
      <w:r>
        <w:rPr>
          <w:szCs w:val="28"/>
          <w:lang w:val="uk-UA"/>
        </w:rPr>
        <w:t>1</w:t>
      </w:r>
      <w:r>
        <w:rPr>
          <w:bCs/>
          <w:szCs w:val="28"/>
          <w:lang w:val="uk-UA"/>
        </w:rPr>
        <w:t>]</w:t>
      </w:r>
      <w:r>
        <w:rPr>
          <w:szCs w:val="28"/>
          <w:lang w:val="uk-UA"/>
        </w:rPr>
        <w:t>. Серед функціональних порушень травного каналу найчастіше зустрічаються функціональні розлади шлунка та кишечника (ФРШК), що у більшості хворих представлені відповідно функціональною диспепсією (ФД) і синдромом подразненого кишечника (СПК), які значно знижують якість життя пацієнтів і є причиною щорічного збільшення звернень хворих до лікаря. На сьогоднішній день ФД є найбільш поширеною патологією як серед хвороб органів травлення, так і в загальній структурі захворювань</w:t>
      </w:r>
      <w:r>
        <w:rPr>
          <w:bCs/>
          <w:szCs w:val="28"/>
          <w:lang w:val="uk-UA"/>
        </w:rPr>
        <w:t xml:space="preserve"> [2]</w:t>
      </w:r>
      <w:r>
        <w:rPr>
          <w:szCs w:val="28"/>
          <w:lang w:val="uk-UA"/>
        </w:rPr>
        <w:t>. В останні роки спостерігається тенденція до значного підвищення частоти виникнення ФД, яка набула характеру епідемії: ФД реєструється у 20-40 % населення країн Євросоюзу та Північної Америки</w:t>
      </w:r>
      <w:r>
        <w:rPr>
          <w:bCs/>
          <w:szCs w:val="28"/>
          <w:lang w:val="uk-UA"/>
        </w:rPr>
        <w:t xml:space="preserve"> [3</w:t>
      </w:r>
      <w:r>
        <w:rPr>
          <w:szCs w:val="28"/>
          <w:lang w:val="uk-UA"/>
        </w:rPr>
        <w:t>]. На СПК у світі страждають біля 10-20% населення [4]. ФРШК в основному зустрічаються у осіб молодого та середнього віку, часто призводять до тривалої непрацездатності і являють собою не лише медичну, а й соціальну проблему, завдаючи значних економічних збитків. Тому питання, пов'язані з ФРШК, мають велику актуальність.</w:t>
      </w:r>
    </w:p>
    <w:p w:rsidR="006A6786" w:rsidRDefault="006A6786" w:rsidP="006A6786">
      <w:pPr>
        <w:pStyle w:val="24"/>
        <w:spacing w:line="360" w:lineRule="auto"/>
        <w:ind w:firstLine="720"/>
        <w:jc w:val="both"/>
        <w:rPr>
          <w:szCs w:val="28"/>
          <w:lang w:val="uk-UA"/>
        </w:rPr>
      </w:pPr>
      <w:r>
        <w:rPr>
          <w:szCs w:val="28"/>
          <w:lang w:val="uk-UA"/>
        </w:rPr>
        <w:t>Останнім часом почали вивчати проблему поєднання патології органів травлення з іншими патологічними станами, зокрема з ожирінням, враховуючи безпосередню участь органів травлення в формуванні надлишкової маси тіла (МТ) і обтяжуючий вплив збільшення МТ на порушення моторної функції травного каналу та розлади постпрандіальної акомодації [</w:t>
      </w:r>
      <w:r>
        <w:rPr>
          <w:bCs/>
          <w:szCs w:val="28"/>
          <w:lang w:val="uk-UA"/>
        </w:rPr>
        <w:t>5</w:t>
      </w:r>
      <w:r>
        <w:rPr>
          <w:szCs w:val="28"/>
          <w:lang w:val="uk-UA"/>
        </w:rPr>
        <w:t>].</w:t>
      </w:r>
    </w:p>
    <w:p w:rsidR="006A6786" w:rsidRDefault="006A6786" w:rsidP="006A6786">
      <w:pPr>
        <w:pStyle w:val="24"/>
        <w:spacing w:line="360" w:lineRule="auto"/>
        <w:jc w:val="both"/>
        <w:rPr>
          <w:szCs w:val="28"/>
          <w:lang w:val="uk-UA"/>
        </w:rPr>
      </w:pPr>
      <w:r>
        <w:rPr>
          <w:szCs w:val="28"/>
          <w:lang w:val="uk-UA"/>
        </w:rPr>
        <w:t>Проте, основним предметом вивчення стало поєднання ожиріння з гастроезофагеальною рефлюксною хворобою</w:t>
      </w:r>
      <w:r>
        <w:rPr>
          <w:bCs/>
          <w:szCs w:val="28"/>
          <w:lang w:val="uk-UA"/>
        </w:rPr>
        <w:t xml:space="preserve"> (ГЕРХ) [6</w:t>
      </w:r>
      <w:r>
        <w:rPr>
          <w:szCs w:val="28"/>
          <w:lang w:val="uk-UA"/>
        </w:rPr>
        <w:t xml:space="preserve">], тоді як зв'язок підвищеної МТ з частотою виникнення функціональних порушень досліджено </w:t>
      </w:r>
      <w:r>
        <w:rPr>
          <w:szCs w:val="28"/>
          <w:lang w:val="uk-UA"/>
        </w:rPr>
        <w:lastRenderedPageBreak/>
        <w:t>лише з позицій ролі змін акомодації та моторики шлунка в патогенезі ожиріння</w:t>
      </w:r>
      <w:r>
        <w:rPr>
          <w:bCs/>
          <w:szCs w:val="28"/>
          <w:lang w:val="uk-UA"/>
        </w:rPr>
        <w:t xml:space="preserve"> [7</w:t>
      </w:r>
      <w:r>
        <w:rPr>
          <w:szCs w:val="28"/>
          <w:lang w:val="uk-UA"/>
        </w:rPr>
        <w:t>]. Інші автори вивчали лише частоту виникнення гастроінтестинальних симптомів у хворих на ожиріння без детального дослідження особливостей перебігу поєднаної патології</w:t>
      </w:r>
      <w:r>
        <w:rPr>
          <w:bCs/>
          <w:szCs w:val="28"/>
          <w:lang w:val="uk-UA"/>
        </w:rPr>
        <w:t xml:space="preserve"> [8, 9</w:t>
      </w:r>
      <w:r>
        <w:rPr>
          <w:szCs w:val="28"/>
          <w:lang w:val="uk-UA"/>
        </w:rPr>
        <w:t>].</w:t>
      </w:r>
    </w:p>
    <w:p w:rsidR="006A6786" w:rsidRDefault="006A6786" w:rsidP="006A6786">
      <w:pPr>
        <w:pStyle w:val="24"/>
        <w:spacing w:line="360" w:lineRule="auto"/>
        <w:jc w:val="both"/>
        <w:rPr>
          <w:szCs w:val="28"/>
          <w:lang w:val="uk-UA"/>
        </w:rPr>
      </w:pPr>
      <w:r>
        <w:rPr>
          <w:szCs w:val="28"/>
          <w:lang w:val="uk-UA"/>
        </w:rPr>
        <w:t>Необхідність детального вивчення поєднання ФРШК з надлишковою МТ та ожирінням не підлягає сумніву, враховуючи велику частоту захворювань, спільні ланки патогенезу (нейромедіаторний дисбаланс), взаємне обтяження із значним погіршанням якості життя</w:t>
      </w:r>
      <w:r>
        <w:rPr>
          <w:bCs/>
          <w:szCs w:val="28"/>
          <w:lang w:val="uk-UA"/>
        </w:rPr>
        <w:t xml:space="preserve"> </w:t>
      </w:r>
      <w:r>
        <w:rPr>
          <w:szCs w:val="28"/>
          <w:lang w:val="uk-UA"/>
        </w:rPr>
        <w:t>та розвитком психосоматичних розладів</w:t>
      </w:r>
      <w:r>
        <w:rPr>
          <w:iCs/>
          <w:szCs w:val="28"/>
          <w:lang w:val="uk-UA"/>
        </w:rPr>
        <w:t xml:space="preserve"> [</w:t>
      </w:r>
      <w:r>
        <w:rPr>
          <w:bCs/>
          <w:szCs w:val="28"/>
          <w:lang w:val="uk-UA"/>
        </w:rPr>
        <w:t>10-13</w:t>
      </w:r>
      <w:r>
        <w:rPr>
          <w:szCs w:val="28"/>
          <w:lang w:val="uk-UA"/>
        </w:rPr>
        <w:t>].</w:t>
      </w:r>
    </w:p>
    <w:p w:rsidR="006A6786" w:rsidRDefault="006A6786" w:rsidP="006A6786">
      <w:pPr>
        <w:widowControl w:val="0"/>
        <w:autoSpaceDE w:val="0"/>
        <w:autoSpaceDN w:val="0"/>
        <w:adjustRightInd w:val="0"/>
        <w:spacing w:line="360" w:lineRule="auto"/>
        <w:ind w:firstLine="720"/>
        <w:jc w:val="both"/>
        <w:rPr>
          <w:sz w:val="28"/>
          <w:szCs w:val="28"/>
          <w:lang w:val="uk-UA"/>
        </w:rPr>
      </w:pPr>
      <w:r>
        <w:rPr>
          <w:sz w:val="28"/>
          <w:szCs w:val="28"/>
          <w:lang w:val="uk-UA"/>
        </w:rPr>
        <w:t>Окремою проблемою постає питання лікування ФРШК (як ізольовано, так і в аспекті поєднаної патології). Нерідко на перший план виходять психосоматичні розлади, особливо при наявності супутньої патології, зокрема ожиріння. Соматоформні розлади можуть бути однією з причин резистентності клінічної симптоматики до стандартної терапії</w:t>
      </w:r>
      <w:r>
        <w:rPr>
          <w:sz w:val="28"/>
          <w:szCs w:val="28"/>
        </w:rPr>
        <w:t xml:space="preserve"> </w:t>
      </w:r>
      <w:r>
        <w:rPr>
          <w:sz w:val="28"/>
          <w:szCs w:val="28"/>
          <w:lang w:val="uk-UA"/>
        </w:rPr>
        <w:t>[</w:t>
      </w:r>
      <w:r>
        <w:rPr>
          <w:bCs/>
          <w:sz w:val="28"/>
          <w:szCs w:val="28"/>
          <w:lang w:val="uk-UA"/>
        </w:rPr>
        <w:t>14</w:t>
      </w:r>
      <w:r>
        <w:rPr>
          <w:sz w:val="28"/>
          <w:szCs w:val="28"/>
          <w:lang w:val="uk-UA"/>
        </w:rPr>
        <w:t>].</w:t>
      </w:r>
    </w:p>
    <w:p w:rsidR="006A6786" w:rsidRDefault="006A6786" w:rsidP="006A6786">
      <w:pPr>
        <w:pStyle w:val="affffffffffffffffffffffffffffffffffffffff"/>
        <w:tabs>
          <w:tab w:val="left" w:pos="459"/>
        </w:tabs>
        <w:spacing w:line="360" w:lineRule="auto"/>
        <w:ind w:firstLine="720"/>
        <w:jc w:val="both"/>
        <w:rPr>
          <w:sz w:val="28"/>
          <w:szCs w:val="28"/>
          <w:lang w:val="uk-UA"/>
        </w:rPr>
      </w:pPr>
      <w:r>
        <w:rPr>
          <w:sz w:val="28"/>
          <w:szCs w:val="28"/>
          <w:lang w:val="uk-UA"/>
        </w:rPr>
        <w:t>Перспективним агентом у лікуванні гастроінтестинальної патології є мелатонін – епіфізарний гормон, концентрація якого в ШКТ в 10-100 разів вище, ніж в крові, і в 400 разів вище, ніж в самому епіфізі, завдяки позапінеальному джерелу синтезу у вигляді ентерохромафінних клітин [15, 16].</w:t>
      </w:r>
    </w:p>
    <w:p w:rsidR="006A6786" w:rsidRDefault="006A6786" w:rsidP="006A6786">
      <w:pPr>
        <w:pStyle w:val="affffffffffffffffffffffffffffffffffffffff"/>
        <w:tabs>
          <w:tab w:val="left" w:pos="459"/>
        </w:tabs>
        <w:spacing w:line="360" w:lineRule="auto"/>
        <w:ind w:firstLine="720"/>
        <w:jc w:val="both"/>
        <w:rPr>
          <w:sz w:val="28"/>
          <w:szCs w:val="28"/>
          <w:lang w:val="uk-UA"/>
        </w:rPr>
      </w:pPr>
      <w:r>
        <w:rPr>
          <w:sz w:val="28"/>
          <w:szCs w:val="28"/>
          <w:lang w:val="uk-UA"/>
        </w:rPr>
        <w:t>Мелатонін, окрім найбільш відомого впливу на сон та циркадні ритми організму, є регулятором гастроінтестинальної моторики, стимулює секрецію гідрокарбонатів у дванадцятипалій кишці, підвищує місцевий імунітет слизової оболонки, стимулює синтез оксиду азоту, має потужний антиоксидантний вплив, опосередковує вісцеральну чутливість, а також коригує порушення сну та інші прояви психопатологічних розладів [17-20], що визначає його перспективи в лікуванні ФРШК.</w:t>
      </w:r>
    </w:p>
    <w:p w:rsidR="006A6786" w:rsidRDefault="006A6786" w:rsidP="006A6786">
      <w:pPr>
        <w:pStyle w:val="affffffffffffffffffffffffffffffffffffffff"/>
        <w:tabs>
          <w:tab w:val="left" w:pos="459"/>
        </w:tabs>
        <w:spacing w:line="360" w:lineRule="auto"/>
        <w:ind w:firstLine="720"/>
        <w:jc w:val="both"/>
        <w:rPr>
          <w:sz w:val="28"/>
          <w:szCs w:val="28"/>
          <w:lang w:val="uk-UA"/>
        </w:rPr>
      </w:pPr>
      <w:r>
        <w:rPr>
          <w:sz w:val="28"/>
          <w:szCs w:val="28"/>
          <w:lang w:val="uk-UA"/>
        </w:rPr>
        <w:t>Після отримання позитивних експериментальних результатів від призначення мелатоніну для лікування гастроінтестинальної патології було проведено декілька досліджень, де був доведений позитивний вплив мелатоніну на вісцеральну чутливість у хворих на СПК незалежно від поліпшення симптомів розладів сну і психосоматичних проявів [</w:t>
      </w:r>
      <w:r>
        <w:rPr>
          <w:bCs/>
          <w:sz w:val="28"/>
          <w:szCs w:val="28"/>
          <w:lang w:val="uk-UA"/>
        </w:rPr>
        <w:t>20-22</w:t>
      </w:r>
      <w:r>
        <w:rPr>
          <w:sz w:val="28"/>
          <w:szCs w:val="28"/>
          <w:lang w:val="uk-UA"/>
        </w:rPr>
        <w:t xml:space="preserve">]. Після лікування мелатоніном </w:t>
      </w:r>
      <w:r>
        <w:rPr>
          <w:sz w:val="28"/>
          <w:szCs w:val="28"/>
          <w:lang w:val="uk-UA"/>
        </w:rPr>
        <w:lastRenderedPageBreak/>
        <w:t>хворих на СПК відмічалась позитивна динаміка суб’єктивної симптоматики та покращання показників якості життя [23]. У хворих на ФД прийом мелатоніну забезпечив повне зникнення симптомів у 56,6 % хворих та деяке покращання стану із зменшенням частоти та інтенсивності нічного болю у 30,0 % хворих [24].</w:t>
      </w:r>
    </w:p>
    <w:p w:rsidR="006A6786" w:rsidRDefault="006A6786" w:rsidP="006A6786">
      <w:pPr>
        <w:pStyle w:val="affffffffffffffffffffffffffffffffffffffff"/>
        <w:tabs>
          <w:tab w:val="left" w:pos="459"/>
        </w:tabs>
        <w:spacing w:line="360" w:lineRule="auto"/>
        <w:ind w:firstLine="720"/>
        <w:jc w:val="both"/>
        <w:rPr>
          <w:sz w:val="28"/>
          <w:szCs w:val="28"/>
          <w:lang w:val="uk-UA"/>
        </w:rPr>
      </w:pPr>
      <w:r>
        <w:rPr>
          <w:sz w:val="28"/>
          <w:szCs w:val="28"/>
          <w:lang w:val="uk-UA"/>
        </w:rPr>
        <w:t>Проте питання щодо рівня мелатоніну в організмі при ФРШК та можливої корекції гормонального дисбалансу його екзогенним призначенням залишається недостатньо вивченим.</w:t>
      </w:r>
    </w:p>
    <w:p w:rsidR="006A6786" w:rsidRDefault="006A6786" w:rsidP="006A6786">
      <w:pPr>
        <w:widowControl w:val="0"/>
        <w:autoSpaceDE w:val="0"/>
        <w:autoSpaceDN w:val="0"/>
        <w:adjustRightInd w:val="0"/>
        <w:spacing w:line="360" w:lineRule="auto"/>
        <w:ind w:firstLine="720"/>
        <w:jc w:val="both"/>
        <w:rPr>
          <w:sz w:val="28"/>
          <w:szCs w:val="28"/>
          <w:lang w:val="uk-UA"/>
        </w:rPr>
      </w:pPr>
      <w:r>
        <w:rPr>
          <w:sz w:val="28"/>
          <w:szCs w:val="28"/>
          <w:lang w:val="uk-UA"/>
        </w:rPr>
        <w:t>Більш того, в літературі практично немає відомостей про зміни рівня мелатоніну в залежності від індексу маси тіла (ІМТ), хоча є очевидним його залучення до патогенезу ожиріння. Роботи, що повідомляють про супресію ритмічності секреції мелатоніну у цього контингенту хворих, датовані більш ніж 10 років тому.</w:t>
      </w:r>
    </w:p>
    <w:p w:rsidR="006A6786" w:rsidRDefault="006A6786" w:rsidP="006A6786">
      <w:pPr>
        <w:widowControl w:val="0"/>
        <w:autoSpaceDE w:val="0"/>
        <w:autoSpaceDN w:val="0"/>
        <w:adjustRightInd w:val="0"/>
        <w:spacing w:line="360" w:lineRule="auto"/>
        <w:ind w:firstLine="720"/>
        <w:jc w:val="both"/>
        <w:rPr>
          <w:sz w:val="28"/>
          <w:szCs w:val="28"/>
          <w:lang w:val="uk-UA"/>
        </w:rPr>
      </w:pPr>
      <w:r>
        <w:rPr>
          <w:sz w:val="28"/>
          <w:szCs w:val="28"/>
          <w:lang w:val="uk-UA"/>
        </w:rPr>
        <w:t>В Україні патогенетична роль мелатоніну при захворюваннях ШКТ достатньо досліджена лише у хворих на пептичні виразки дванадцятипалої кишки [</w:t>
      </w:r>
      <w:r>
        <w:rPr>
          <w:bCs/>
          <w:sz w:val="28"/>
          <w:szCs w:val="28"/>
          <w:lang w:val="uk-UA"/>
        </w:rPr>
        <w:t>25, 26</w:t>
      </w:r>
      <w:r>
        <w:rPr>
          <w:sz w:val="28"/>
          <w:szCs w:val="28"/>
          <w:lang w:val="uk-UA"/>
        </w:rPr>
        <w:t>].</w:t>
      </w:r>
    </w:p>
    <w:p w:rsidR="006A6786" w:rsidRDefault="006A6786" w:rsidP="006A6786">
      <w:pPr>
        <w:pStyle w:val="Style0"/>
        <w:spacing w:line="360" w:lineRule="auto"/>
        <w:ind w:firstLine="720"/>
        <w:jc w:val="both"/>
        <w:rPr>
          <w:rFonts w:ascii="Times New Roman" w:hAnsi="Times New Roman"/>
          <w:sz w:val="28"/>
          <w:szCs w:val="28"/>
          <w:lang w:val="uk-UA"/>
        </w:rPr>
      </w:pPr>
      <w:r>
        <w:rPr>
          <w:rFonts w:ascii="Times New Roman" w:hAnsi="Times New Roman"/>
          <w:sz w:val="28"/>
          <w:szCs w:val="28"/>
          <w:lang w:val="uk-UA"/>
        </w:rPr>
        <w:t>Виходячи з описаного вище, актуальним завданням внутрішньої медицини є вивчення патогенетичного впливу мелатоніну на перебіг ФРШК у хворих з надлишковою МТ та ефективності застосування мелатоніну у цієї категорії хворих з метою корекції диспепсичних скарг, дисгормональних та психовегетативних порушень.</w:t>
      </w:r>
    </w:p>
    <w:p w:rsidR="006A6786" w:rsidRDefault="006A6786" w:rsidP="006A6786">
      <w:pPr>
        <w:widowControl w:val="0"/>
        <w:autoSpaceDE w:val="0"/>
        <w:autoSpaceDN w:val="0"/>
        <w:adjustRightInd w:val="0"/>
        <w:spacing w:line="360" w:lineRule="auto"/>
        <w:ind w:firstLine="720"/>
        <w:jc w:val="both"/>
        <w:rPr>
          <w:b/>
          <w:sz w:val="28"/>
          <w:szCs w:val="28"/>
          <w:lang w:val="uk-UA"/>
        </w:rPr>
      </w:pPr>
      <w:r>
        <w:rPr>
          <w:b/>
          <w:sz w:val="28"/>
          <w:szCs w:val="28"/>
          <w:lang w:val="uk-UA"/>
        </w:rPr>
        <w:t>Зв’язок роботи з науковими програмами, планами, темами</w:t>
      </w:r>
    </w:p>
    <w:p w:rsidR="006A6786" w:rsidRDefault="006A6786" w:rsidP="006A6786">
      <w:pPr>
        <w:widowControl w:val="0"/>
        <w:autoSpaceDE w:val="0"/>
        <w:autoSpaceDN w:val="0"/>
        <w:adjustRightInd w:val="0"/>
        <w:spacing w:line="360" w:lineRule="auto"/>
        <w:ind w:firstLine="720"/>
        <w:jc w:val="both"/>
        <w:rPr>
          <w:sz w:val="28"/>
          <w:szCs w:val="28"/>
          <w:lang w:val="uk-UA"/>
        </w:rPr>
      </w:pPr>
      <w:r>
        <w:rPr>
          <w:sz w:val="28"/>
          <w:szCs w:val="28"/>
          <w:lang w:val="uk-UA"/>
        </w:rPr>
        <w:t>Дисертаційне дослідження є складовою частиною науково-дослідної роботи відділу захворювань печінки та шлунково-кишкового тракту ДУ „Інститут терапії імені Л. Т. Малої АМН України” на тему „Розробити методи діагностики і профілактики прогресування H. pylori-асоційованого атрофічного гастриту” (№ державної реєстрації 0105U000757).</w:t>
      </w:r>
    </w:p>
    <w:p w:rsidR="006A6786" w:rsidRDefault="006A6786" w:rsidP="006A6786">
      <w:pPr>
        <w:widowControl w:val="0"/>
        <w:autoSpaceDE w:val="0"/>
        <w:autoSpaceDN w:val="0"/>
        <w:adjustRightInd w:val="0"/>
        <w:spacing w:line="360" w:lineRule="auto"/>
        <w:ind w:firstLine="720"/>
        <w:jc w:val="both"/>
        <w:rPr>
          <w:i/>
          <w:sz w:val="28"/>
          <w:szCs w:val="28"/>
          <w:lang w:val="uk-UA"/>
        </w:rPr>
      </w:pPr>
      <w:r>
        <w:rPr>
          <w:b/>
          <w:sz w:val="28"/>
          <w:szCs w:val="28"/>
          <w:lang w:val="uk-UA"/>
        </w:rPr>
        <w:t>Мета дослідження</w:t>
      </w:r>
      <w:r>
        <w:rPr>
          <w:sz w:val="28"/>
          <w:szCs w:val="28"/>
          <w:lang w:val="uk-UA"/>
        </w:rPr>
        <w:t>: підвищити ефективність лікування хворих на функціональні розлади шлунка та кишечника в поєднанні з надлишковою масою тіла шляхом корекції суб’єктивної симптоматики, дисгормональних та психовегетативних порушень за допомогою комплексної терапії із застосуванням мелатоніну.</w:t>
      </w:r>
    </w:p>
    <w:p w:rsidR="006A6786" w:rsidRDefault="006A6786" w:rsidP="006A6786">
      <w:pPr>
        <w:pStyle w:val="Style0"/>
        <w:spacing w:line="360" w:lineRule="auto"/>
        <w:ind w:firstLine="720"/>
        <w:jc w:val="both"/>
        <w:rPr>
          <w:rFonts w:ascii="Times New Roman" w:hAnsi="Times New Roman"/>
          <w:sz w:val="28"/>
          <w:szCs w:val="28"/>
          <w:lang w:val="uk-UA"/>
        </w:rPr>
      </w:pPr>
      <w:r>
        <w:rPr>
          <w:rFonts w:ascii="Times New Roman" w:hAnsi="Times New Roman"/>
          <w:sz w:val="28"/>
          <w:szCs w:val="28"/>
          <w:lang w:val="uk-UA"/>
        </w:rPr>
        <w:lastRenderedPageBreak/>
        <w:t xml:space="preserve">Для досягнення поставленої мети необхідно вирішити наступні </w:t>
      </w:r>
      <w:r>
        <w:rPr>
          <w:rFonts w:ascii="Times New Roman" w:hAnsi="Times New Roman"/>
          <w:b/>
          <w:sz w:val="28"/>
          <w:szCs w:val="28"/>
          <w:lang w:val="uk-UA"/>
        </w:rPr>
        <w:t>завдання:</w:t>
      </w:r>
    </w:p>
    <w:p w:rsidR="006A6786" w:rsidRDefault="006A6786" w:rsidP="00331249">
      <w:pPr>
        <w:pStyle w:val="38"/>
        <w:numPr>
          <w:ilvl w:val="0"/>
          <w:numId w:val="69"/>
        </w:numPr>
        <w:suppressAutoHyphens w:val="0"/>
        <w:spacing w:after="0"/>
        <w:rPr>
          <w:szCs w:val="28"/>
          <w:lang w:val="uk-UA"/>
        </w:rPr>
      </w:pPr>
      <w:r>
        <w:rPr>
          <w:szCs w:val="28"/>
          <w:lang w:val="uk-UA"/>
        </w:rPr>
        <w:t>Встановити особливості клінічного перебігу ФРШК у осіб з нормальною і надлишковою МТ та особливості психовегетативних розладів у цієї категорії хворих.</w:t>
      </w:r>
    </w:p>
    <w:p w:rsidR="006A6786" w:rsidRDefault="006A6786" w:rsidP="00331249">
      <w:pPr>
        <w:pStyle w:val="38"/>
        <w:numPr>
          <w:ilvl w:val="0"/>
          <w:numId w:val="69"/>
        </w:numPr>
        <w:suppressAutoHyphens w:val="0"/>
        <w:spacing w:after="0"/>
        <w:rPr>
          <w:szCs w:val="28"/>
          <w:lang w:val="uk-UA"/>
        </w:rPr>
      </w:pPr>
      <w:r>
        <w:rPr>
          <w:szCs w:val="28"/>
          <w:lang w:val="uk-UA"/>
        </w:rPr>
        <w:t>Порівняти забезпеченість мелатоніном і дослідити стан мелатонін-асоційованої гормональної системи (лептину і греліну) при ФРШК у осіб з надлишковою та нормальною МТ.</w:t>
      </w:r>
    </w:p>
    <w:p w:rsidR="006A6786" w:rsidRDefault="006A6786" w:rsidP="00331249">
      <w:pPr>
        <w:pStyle w:val="38"/>
        <w:numPr>
          <w:ilvl w:val="0"/>
          <w:numId w:val="69"/>
        </w:numPr>
        <w:suppressAutoHyphens w:val="0"/>
        <w:spacing w:after="0"/>
        <w:rPr>
          <w:szCs w:val="28"/>
          <w:lang w:val="uk-UA"/>
        </w:rPr>
      </w:pPr>
      <w:r>
        <w:rPr>
          <w:szCs w:val="28"/>
          <w:lang w:val="uk-UA"/>
        </w:rPr>
        <w:t>Встановити взаємозв’язок між рівнем мелатоніну і особливостями клінічних, психовегетативних та дисгормональних проявів ФРШК у осіб з нормальною і надлишковою МТ.</w:t>
      </w:r>
    </w:p>
    <w:p w:rsidR="006A6786" w:rsidRDefault="006A6786" w:rsidP="00331249">
      <w:pPr>
        <w:pStyle w:val="38"/>
        <w:numPr>
          <w:ilvl w:val="0"/>
          <w:numId w:val="69"/>
        </w:numPr>
        <w:suppressAutoHyphens w:val="0"/>
        <w:spacing w:after="0"/>
        <w:rPr>
          <w:szCs w:val="28"/>
          <w:lang w:val="uk-UA"/>
        </w:rPr>
      </w:pPr>
      <w:r>
        <w:rPr>
          <w:szCs w:val="28"/>
          <w:lang w:val="uk-UA"/>
        </w:rPr>
        <w:t>З’ясувати ефективність застосування мелатоніну в корекції клінічних, психовегетативних та дисгормональних проявів ФРШК у осіб з надлишковою МТ порівняно із стандартним лікуванням.</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Об’єкт дослідження</w:t>
      </w:r>
      <w:r>
        <w:rPr>
          <w:rFonts w:ascii="Times New Roman" w:hAnsi="Times New Roman"/>
          <w:i/>
          <w:sz w:val="28"/>
          <w:szCs w:val="28"/>
          <w:lang w:val="uk-UA"/>
        </w:rPr>
        <w:t xml:space="preserve"> – </w:t>
      </w:r>
      <w:r>
        <w:rPr>
          <w:rFonts w:ascii="Times New Roman" w:hAnsi="Times New Roman"/>
          <w:sz w:val="28"/>
          <w:szCs w:val="28"/>
          <w:lang w:val="uk-UA"/>
        </w:rPr>
        <w:t>ФРШК у хворих з надлишковою та нормальною МТ.</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Предмет дослідження</w:t>
      </w:r>
      <w:r>
        <w:rPr>
          <w:rFonts w:ascii="Times New Roman" w:hAnsi="Times New Roman"/>
          <w:i/>
          <w:sz w:val="28"/>
          <w:szCs w:val="28"/>
          <w:lang w:val="uk-UA"/>
        </w:rPr>
        <w:t xml:space="preserve"> – </w:t>
      </w:r>
      <w:r>
        <w:rPr>
          <w:rFonts w:ascii="Times New Roman" w:hAnsi="Times New Roman"/>
          <w:sz w:val="28"/>
          <w:szCs w:val="28"/>
          <w:lang w:val="uk-UA"/>
        </w:rPr>
        <w:t>клінічні та психовегетативні прояви ФРШК у осіб з надлишковою МТ, рівень забезпеченості організму мелатоніном у даної категорії хворих та вміст мелатонін-асоційованих гормонів (лептин, грелін) в динаміці диференційованого лікування з використанням препарату мелатоніну.</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Методи дослідження:</w:t>
      </w:r>
      <w:r>
        <w:rPr>
          <w:rFonts w:ascii="Times New Roman" w:hAnsi="Times New Roman"/>
          <w:sz w:val="28"/>
          <w:szCs w:val="28"/>
          <w:lang w:val="uk-UA"/>
        </w:rPr>
        <w:t xml:space="preserve"> </w:t>
      </w:r>
    </w:p>
    <w:p w:rsidR="006A6786" w:rsidRDefault="006A6786" w:rsidP="00331249">
      <w:pPr>
        <w:pStyle w:val="Style0"/>
        <w:numPr>
          <w:ilvl w:val="2"/>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клініко-анамнестичний; </w:t>
      </w:r>
    </w:p>
    <w:p w:rsidR="006A6786" w:rsidRDefault="006A6786" w:rsidP="00331249">
      <w:pPr>
        <w:pStyle w:val="Style0"/>
        <w:numPr>
          <w:ilvl w:val="2"/>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метод анкетування: </w:t>
      </w:r>
    </w:p>
    <w:p w:rsidR="006A6786" w:rsidRDefault="006A6786" w:rsidP="00331249">
      <w:pPr>
        <w:pStyle w:val="Style0"/>
        <w:numPr>
          <w:ilvl w:val="3"/>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визначення інтенсивності клінічної симптоматики за шкалою Gastrointestinal Symptom Rating Scale (GSRS), </w:t>
      </w:r>
    </w:p>
    <w:p w:rsidR="006A6786" w:rsidRDefault="006A6786" w:rsidP="00331249">
      <w:pPr>
        <w:pStyle w:val="Style0"/>
        <w:numPr>
          <w:ilvl w:val="3"/>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визначення рівня алекситимії (Ал) за Торонтською алекситимічною шкалою (TAS-20), </w:t>
      </w:r>
    </w:p>
    <w:p w:rsidR="006A6786" w:rsidRDefault="006A6786" w:rsidP="00331249">
      <w:pPr>
        <w:pStyle w:val="Style0"/>
        <w:numPr>
          <w:ilvl w:val="3"/>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визначення рівня депресії (Д) за опитувальником Бека, </w:t>
      </w:r>
    </w:p>
    <w:p w:rsidR="006A6786" w:rsidRDefault="006A6786" w:rsidP="00331249">
      <w:pPr>
        <w:pStyle w:val="Style0"/>
        <w:numPr>
          <w:ilvl w:val="3"/>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визначення рівня ситуативної (СТр) та особистісної тривожності (ОТр) за опитувальником Спілбергера-Ханіна, </w:t>
      </w:r>
    </w:p>
    <w:p w:rsidR="006A6786" w:rsidRDefault="006A6786" w:rsidP="00331249">
      <w:pPr>
        <w:pStyle w:val="Style0"/>
        <w:numPr>
          <w:ilvl w:val="3"/>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визначення вегетативного тонусу за опитувальником Вейна-Сандомирського); </w:t>
      </w:r>
    </w:p>
    <w:p w:rsidR="006A6786" w:rsidRDefault="006A6786" w:rsidP="00331249">
      <w:pPr>
        <w:pStyle w:val="Style0"/>
        <w:numPr>
          <w:ilvl w:val="2"/>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інструментальний (відеоезофагогастродуоденоскопія, ультразвукове дослідження органів черевної порожнини, базальна топографічна рН-метрія); </w:t>
      </w:r>
    </w:p>
    <w:p w:rsidR="006A6786" w:rsidRDefault="006A6786" w:rsidP="00331249">
      <w:pPr>
        <w:pStyle w:val="Style0"/>
        <w:numPr>
          <w:ilvl w:val="2"/>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імуноферментний: </w:t>
      </w:r>
    </w:p>
    <w:p w:rsidR="006A6786" w:rsidRDefault="006A6786" w:rsidP="00331249">
      <w:pPr>
        <w:pStyle w:val="Style0"/>
        <w:numPr>
          <w:ilvl w:val="3"/>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lastRenderedPageBreak/>
        <w:t xml:space="preserve">визначення рівня метаболіту мелатоніну – 6-сульфатоксимелатоніну (6-СОМ) – в ранковій сечі, </w:t>
      </w:r>
    </w:p>
    <w:p w:rsidR="006A6786" w:rsidRDefault="006A6786" w:rsidP="00331249">
      <w:pPr>
        <w:pStyle w:val="Style0"/>
        <w:numPr>
          <w:ilvl w:val="3"/>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 xml:space="preserve">визначення концентрацій лептину і загального греліну в сироватці крові; </w:t>
      </w:r>
    </w:p>
    <w:p w:rsidR="006A6786" w:rsidRDefault="006A6786" w:rsidP="00331249">
      <w:pPr>
        <w:pStyle w:val="Style0"/>
        <w:numPr>
          <w:ilvl w:val="2"/>
          <w:numId w:val="67"/>
        </w:numPr>
        <w:autoSpaceDE/>
        <w:autoSpaceDN/>
        <w:adjustRightInd/>
        <w:spacing w:line="360" w:lineRule="auto"/>
        <w:jc w:val="both"/>
        <w:rPr>
          <w:rFonts w:ascii="Times New Roman" w:hAnsi="Times New Roman"/>
          <w:sz w:val="28"/>
          <w:szCs w:val="28"/>
          <w:lang w:val="uk-UA"/>
        </w:rPr>
      </w:pPr>
      <w:r>
        <w:rPr>
          <w:rFonts w:ascii="Times New Roman" w:hAnsi="Times New Roman"/>
          <w:sz w:val="28"/>
          <w:szCs w:val="28"/>
          <w:lang w:val="uk-UA"/>
        </w:rPr>
        <w:t>статистичний.</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Наукова новизна одержаних результатів</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Вперше вивчені особливості обміну мелатоніну у хворих на ФРШК з надлишковою МТ та їх взаємозв’язок з дисгормональними та психовегетативними розладами. Визначені незалежні предиктори недостатньої ефективності стандартної терапії ФРШК. Вперше запропоновано „Процес прогнозування та контролю ефективності призначення препаратів при лікуванні хворих з функціональними захворюваннями травного каналу”, захищений деклараційним патентом України на корисну модель (№ UA 26760u). Обґрунтована доцільність використання препарату „Віта-мелатонін” при низькому рівні екскреції мелатоніну та високій алекситимічності у хворих на ФРШК з надлишковою МТ. </w:t>
      </w:r>
    </w:p>
    <w:p w:rsidR="006A6786" w:rsidRDefault="006A6786" w:rsidP="006A6786">
      <w:pPr>
        <w:pStyle w:val="Style0"/>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Практичне значення одержаних результатів</w:t>
      </w:r>
    </w:p>
    <w:p w:rsidR="006A6786" w:rsidRDefault="006A6786" w:rsidP="006A6786">
      <w:pPr>
        <w:tabs>
          <w:tab w:val="num" w:pos="720"/>
        </w:tabs>
        <w:spacing w:line="360" w:lineRule="auto"/>
        <w:ind w:firstLine="709"/>
        <w:jc w:val="both"/>
        <w:outlineLvl w:val="0"/>
        <w:rPr>
          <w:sz w:val="28"/>
          <w:szCs w:val="28"/>
          <w:lang w:val="uk-UA"/>
        </w:rPr>
      </w:pPr>
      <w:r>
        <w:rPr>
          <w:sz w:val="28"/>
          <w:szCs w:val="28"/>
          <w:lang w:val="uk-UA"/>
        </w:rPr>
        <w:t xml:space="preserve">Доведена наявність синдрому взаємного обтяження при поєднанні ФРШК з надлишковою МТ. Обґрунтована патогенетична роль зниження продукції мелатоніну та дисбалансу мелатонін-асоційованої гормональної системи лептин-грелін у розвитку психовегетативних розладів при даному поєднанні. Доведена ефективність застосування препарату мелатоніну в комплексному лікуванні хворих на ФРШК з надлишковою МТ для корекції клінічних, психовегетативних проявів та дисбалансу гастроінтестинальних гормонів. Продемонстрована перевага комплексної терапії з використанням мелатоніну в порівнянні із стандартною схемою лікування хворих на ФРШК при наявності у них надлишкової МТ. </w:t>
      </w:r>
    </w:p>
    <w:p w:rsidR="006A6786" w:rsidRDefault="006A6786" w:rsidP="006A6786">
      <w:pPr>
        <w:tabs>
          <w:tab w:val="num" w:pos="720"/>
        </w:tabs>
        <w:spacing w:line="360" w:lineRule="auto"/>
        <w:ind w:firstLine="709"/>
        <w:jc w:val="both"/>
        <w:outlineLvl w:val="0"/>
        <w:rPr>
          <w:sz w:val="28"/>
          <w:szCs w:val="28"/>
          <w:lang w:val="uk-UA"/>
        </w:rPr>
      </w:pPr>
      <w:r>
        <w:rPr>
          <w:sz w:val="28"/>
          <w:szCs w:val="28"/>
          <w:lang w:val="uk-UA"/>
        </w:rPr>
        <w:t xml:space="preserve">Результати дисертаційної роботи впроваджені в практичну роботу гастроентерологічного відділення державної установи „Інститут терапії імені Л. Т. Малої АМН України” (акти впровадження від 26.09.2007 та 27.12.2007), терапевтичного відділення Харківського обласного госпіталю для інвалідів війни (акт впровадження від 04.09.2007), терапевтичного відділення Харківської клінічної </w:t>
      </w:r>
      <w:r>
        <w:rPr>
          <w:sz w:val="28"/>
          <w:szCs w:val="28"/>
          <w:lang w:val="uk-UA"/>
        </w:rPr>
        <w:lastRenderedPageBreak/>
        <w:t>лікарні № 28 Київського району (акт впровадження від 07.09.2007), гастроентерологічного відділе</w:t>
      </w:r>
      <w:r>
        <w:rPr>
          <w:sz w:val="28"/>
          <w:szCs w:val="28"/>
          <w:lang w:val="uk-UA"/>
        </w:rPr>
        <w:t>н</w:t>
      </w:r>
      <w:r>
        <w:rPr>
          <w:sz w:val="28"/>
          <w:szCs w:val="28"/>
          <w:lang w:val="uk-UA"/>
        </w:rPr>
        <w:t>ня Харківського обласного спеціалізованого диспансеру радіаційного захисту населення (акт впровадження від 03.09.2007), гастроентерологічного відділення Миколаївської обласної лікарні (акт впровадження від 25.12.2006), гастроентерологічного відділення Сумської обласної клінічної лікарні (акти впровадження від 28.09.2007); а також використовуються у педагогічному процесі на кафедрі внутрішньої медицини Сумського державного університету (акт впровадження від 01.10.2007).</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b/>
          <w:sz w:val="28"/>
          <w:szCs w:val="28"/>
          <w:lang w:val="uk-UA"/>
        </w:rPr>
        <w:t>Особистий внесок здобувача</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Дисертаційна робота є завершеним самостійним дослідженням. Автором особисто проведені інформаційно-патентний пошук та аналіз літератури за темою дисертаційної роботи. Самостійно здійснені відбір тематичних хворих, розподіл їх за групами, контроль терапії. Головним внеском здобувача є узагальнення результатів наукових досліджень: проведена оцінка клініко-лабораторно-інструментальних досліджень, науковий аналіз та статистична обробка їх результатів на персональному комп’ютері. Автором написані всі розділи дисертації, оформлена дисертаційна робота у вигляді рукопису, сформульовані практичні рекомендації, проведене впровадження у практику. </w:t>
      </w:r>
    </w:p>
    <w:p w:rsidR="006A6786" w:rsidRDefault="006A6786" w:rsidP="006A6786">
      <w:pPr>
        <w:pStyle w:val="Style0"/>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Апробація результатів дисертації</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 xml:space="preserve">Основні положення та результати дисертаційної роботи були представлені та обговорені на Всеукраїнській науково-практичній конференції молодих учених "Внесок молодих вчених у розвиток медичної науки й практики", що проводилася 12 квітня 2006р. у м. Харкові на базі ДУ "Інститут терапії ім. Л.Т. Малої АМН України" (здобувач нагороджена грамотою за кращу доповідь); науково-практичній конференції „Профілактика, діагностика та лікування – основні складові терапії”, що проводилася 19 жовтня 2006р. у м. Харкові на базі ДУ "Інститут терапії ім. Л.Т. Малої АМН України"; Всеукраїнській науково-практичної конференції молодих вчених і спеціалістів „Сучасні досягнення молодих вчених на допомогу практичній медицині”, що проводилася у м. Харкові 20 жовтня 2006р. на базі ДУ "Інститут терапії ім. Л.Т. Малої АМН України" </w:t>
      </w:r>
      <w:r>
        <w:rPr>
          <w:rFonts w:ascii="Times New Roman" w:hAnsi="Times New Roman"/>
          <w:sz w:val="28"/>
          <w:szCs w:val="28"/>
          <w:lang w:val="uk-UA"/>
        </w:rPr>
        <w:lastRenderedPageBreak/>
        <w:t>(здобувач нагороджена дипломом за кращу наукову роботу); науково-практичній конференції молодих учених з міжнародною участю "Вчені майбутнього", що проводилася 25-26 жовтня 2006р. у м. Одесі на базі Одеського державного медичного університету; засіданні товариства гастроентерологів м. Харкова 22 листопада 2006р.; науково-практичній конференції „Ліки – людині: сучасні проблеми створення, дослідження та апробації лікарських засобів”, що проводилася у м. Харкові 22 березня 2007р. на базі кафедри фармакотерапії Національного фармацевтичного університету; науково-практичній конференції „Щорічні терапевтичні читання: роль медичної науки в рішенні проблем внутрішніх хвороб”, що проводилася у м. Харкові 28 березня 2007 р. на базі ДУ "Інститут терапії ім. Л.Т. Малої АМН України"; IV Міжнародній медико-фармацевтичній конференції студентів і молодих вчених, що проводилася у м. Чернівці 3-5 квітня 2007р. на базі Буковинського державного медичного університету (доповідь посіла перше місце); ХІ ювілейному міжнародному конгресі студентів і молодих вчених, що проводився у м. Тернопіль 10-12 травня 2007р. на базі Тернопільського державного медичного університету імені І.Я. Горбачовського (доповідь нагороджена дипломом І ступеня); 9-му Слов’яно-Балтійському науковому форумі „Санкт-Петербург – Гастро-2007”, що проводився у м. Санкт-Петербург, Російська Федерація, 15-18 травня 2007р.; науково-практичній конференції з міжнародною участю "Сучасна гастроентерологія і гепатологія: фундаментальні і прикладні аспекти", що проводилася 24-25 травня 2007р. у м. Полтаві;</w:t>
      </w:r>
      <w:r>
        <w:rPr>
          <w:rFonts w:ascii="Times New Roman" w:hAnsi="Times New Roman"/>
          <w:lang w:val="uk-UA"/>
        </w:rPr>
        <w:t xml:space="preserve"> </w:t>
      </w:r>
      <w:r>
        <w:rPr>
          <w:rFonts w:ascii="Times New Roman" w:hAnsi="Times New Roman"/>
          <w:sz w:val="28"/>
          <w:szCs w:val="28"/>
          <w:lang w:val="uk-UA"/>
        </w:rPr>
        <w:t>науково-практичній конференції „Вклад молодих вчених в розвиток медичної науки і практики” що проводилася у м. Харкові 13 листопада 2007 р. на базі ДУ "Інститут терапії ім. Л.Т. Малої АМН України" (здобувач нагороджена грамотою за кращу наукову роботу).</w:t>
      </w:r>
    </w:p>
    <w:p w:rsidR="006A6786" w:rsidRDefault="006A6786" w:rsidP="006A6786">
      <w:pPr>
        <w:pStyle w:val="Style0"/>
        <w:spacing w:line="360" w:lineRule="auto"/>
        <w:ind w:firstLine="709"/>
        <w:jc w:val="both"/>
        <w:rPr>
          <w:rFonts w:ascii="Times New Roman" w:hAnsi="Times New Roman"/>
          <w:b/>
          <w:sz w:val="28"/>
          <w:szCs w:val="28"/>
          <w:lang w:val="uk-UA"/>
        </w:rPr>
      </w:pPr>
      <w:r>
        <w:rPr>
          <w:rFonts w:ascii="Times New Roman" w:hAnsi="Times New Roman"/>
          <w:b/>
          <w:sz w:val="28"/>
          <w:szCs w:val="28"/>
          <w:lang w:val="uk-UA"/>
        </w:rPr>
        <w:t>Публікації</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За темою дисертації опублікована 21 наукова праця, в тому числі 6 статей у фахових виданнях, рекомендованих ВАК України (з них 2 праці написано у моноавторстві), 14 тез у збірниках матеріалів науково-практичних конференцій, 1 деклараційний патент України на корисну модель.</w:t>
      </w:r>
    </w:p>
    <w:p w:rsidR="006A6786" w:rsidRDefault="006A6786" w:rsidP="006A6786">
      <w:pPr>
        <w:tabs>
          <w:tab w:val="num" w:pos="720"/>
        </w:tabs>
        <w:spacing w:line="360" w:lineRule="auto"/>
        <w:ind w:firstLine="454"/>
        <w:jc w:val="both"/>
        <w:rPr>
          <w:b/>
          <w:bCs/>
          <w:spacing w:val="-2"/>
          <w:sz w:val="28"/>
          <w:szCs w:val="28"/>
          <w:lang w:val="uk-UA"/>
        </w:rPr>
      </w:pPr>
      <w:r>
        <w:rPr>
          <w:b/>
          <w:bCs/>
          <w:spacing w:val="-2"/>
          <w:sz w:val="28"/>
          <w:szCs w:val="28"/>
          <w:lang w:val="uk-UA"/>
        </w:rPr>
        <w:lastRenderedPageBreak/>
        <w:t>Структура та обсяг дисертації</w:t>
      </w:r>
    </w:p>
    <w:p w:rsidR="006A6786" w:rsidRDefault="006A6786" w:rsidP="006A6786">
      <w:pPr>
        <w:tabs>
          <w:tab w:val="num" w:pos="720"/>
        </w:tabs>
        <w:spacing w:line="360" w:lineRule="auto"/>
        <w:ind w:firstLine="454"/>
        <w:jc w:val="both"/>
        <w:rPr>
          <w:spacing w:val="-2"/>
          <w:sz w:val="28"/>
          <w:szCs w:val="28"/>
          <w:lang w:val="uk-UA"/>
        </w:rPr>
      </w:pPr>
      <w:r>
        <w:rPr>
          <w:spacing w:val="-2"/>
          <w:sz w:val="28"/>
          <w:szCs w:val="28"/>
          <w:lang w:val="uk-UA"/>
        </w:rPr>
        <w:t>Дисертація написана українською мовою на 168 сторінках друкованого тексту, з них 124 сторінки займає основний зміст. Робота містить перелік умовних скорочень, вступ, 4 розділи власних досліджень, аналіз і узагальнення результатів дослідження, висновки, практичні рекомендації, додатки, список використаних джерел. Робота ілюстрована 27 таблицями, 17 рисунками. Список використаних джерел літератури складається з 2</w:t>
      </w:r>
      <w:r>
        <w:rPr>
          <w:spacing w:val="-2"/>
          <w:sz w:val="28"/>
          <w:szCs w:val="28"/>
        </w:rPr>
        <w:t>39</w:t>
      </w:r>
      <w:r>
        <w:rPr>
          <w:spacing w:val="-2"/>
          <w:sz w:val="28"/>
          <w:szCs w:val="28"/>
          <w:lang w:val="uk-UA"/>
        </w:rPr>
        <w:t xml:space="preserve"> найменувань (на 3</w:t>
      </w:r>
      <w:r>
        <w:rPr>
          <w:spacing w:val="-2"/>
          <w:sz w:val="28"/>
          <w:szCs w:val="28"/>
        </w:rPr>
        <w:t>4</w:t>
      </w:r>
      <w:r>
        <w:rPr>
          <w:spacing w:val="-2"/>
          <w:sz w:val="28"/>
          <w:szCs w:val="28"/>
          <w:lang w:val="uk-UA"/>
        </w:rPr>
        <w:t xml:space="preserve"> сторінках), з них 7</w:t>
      </w:r>
      <w:r>
        <w:rPr>
          <w:spacing w:val="-2"/>
          <w:sz w:val="28"/>
          <w:szCs w:val="28"/>
        </w:rPr>
        <w:t>8</w:t>
      </w:r>
      <w:r>
        <w:rPr>
          <w:spacing w:val="-2"/>
          <w:sz w:val="28"/>
          <w:szCs w:val="28"/>
          <w:lang w:val="uk-UA"/>
        </w:rPr>
        <w:t xml:space="preserve"> кирилицею та 16</w:t>
      </w:r>
      <w:r>
        <w:rPr>
          <w:spacing w:val="-2"/>
          <w:sz w:val="28"/>
          <w:szCs w:val="28"/>
        </w:rPr>
        <w:t>1</w:t>
      </w:r>
      <w:r>
        <w:rPr>
          <w:spacing w:val="-2"/>
          <w:sz w:val="28"/>
          <w:szCs w:val="28"/>
          <w:lang w:val="uk-UA"/>
        </w:rPr>
        <w:t xml:space="preserve"> латиницею.</w:t>
      </w:r>
    </w:p>
    <w:p w:rsidR="006A6786" w:rsidRDefault="006A6786" w:rsidP="006A6786">
      <w:pPr>
        <w:pStyle w:val="Style0"/>
        <w:spacing w:line="360" w:lineRule="auto"/>
        <w:ind w:firstLine="709"/>
        <w:jc w:val="both"/>
        <w:rPr>
          <w:rFonts w:ascii="Times New Roman" w:hAnsi="Times New Roman"/>
          <w:sz w:val="28"/>
          <w:szCs w:val="28"/>
          <w:lang w:val="uk-UA"/>
        </w:rPr>
      </w:pPr>
    </w:p>
    <w:p w:rsidR="006A6786" w:rsidRDefault="006A6786" w:rsidP="006A6786">
      <w:pPr>
        <w:spacing w:line="360" w:lineRule="auto"/>
        <w:ind w:firstLine="708"/>
        <w:jc w:val="center"/>
        <w:rPr>
          <w:b/>
          <w:caps/>
          <w:sz w:val="28"/>
          <w:szCs w:val="28"/>
          <w:lang w:val="uk-UA"/>
        </w:rPr>
      </w:pPr>
      <w:r>
        <w:rPr>
          <w:szCs w:val="28"/>
          <w:lang w:val="uk-UA"/>
        </w:rPr>
        <w:br w:type="page"/>
      </w:r>
      <w:r>
        <w:rPr>
          <w:b/>
          <w:caps/>
          <w:sz w:val="28"/>
          <w:szCs w:val="28"/>
          <w:lang w:val="uk-UA"/>
        </w:rPr>
        <w:lastRenderedPageBreak/>
        <w:t>Висновки</w:t>
      </w:r>
    </w:p>
    <w:p w:rsidR="006A6786" w:rsidRDefault="006A6786" w:rsidP="006A6786">
      <w:pPr>
        <w:spacing w:line="360" w:lineRule="auto"/>
        <w:ind w:firstLine="708"/>
        <w:jc w:val="center"/>
        <w:rPr>
          <w:b/>
          <w:caps/>
          <w:sz w:val="28"/>
          <w:szCs w:val="28"/>
          <w:lang w:val="uk-UA"/>
        </w:rPr>
      </w:pP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У дисертації представлене теоретичне узагальнення і досягнуте практичне розв’язання наукового завдання, що полягає в клініко-патогенетичному обґрунтуванні доцільності ефективності застосування мелатоніну в комплексній терапії функціональних розладів шлунка та кишечника в поєднанні з надлишковою масою тіла.</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1.</w:t>
      </w:r>
      <w:r>
        <w:rPr>
          <w:rFonts w:ascii="Times New Roman" w:hAnsi="Times New Roman"/>
          <w:sz w:val="28"/>
          <w:szCs w:val="28"/>
          <w:lang w:val="uk-UA"/>
        </w:rPr>
        <w:tab/>
        <w:t>При ФД або поєднанні ФД з СПК у осіб з надлишковою МТ спостерігається зниження забезпеченості організму мелатоніном з вірогідним підвищенням інтенсивності клінічної симптоматики, вираженими психовегетативними розладами та дисбалансом у мелатонін-асоційованій гормональній системі лептин-грелін, що обґрунтовує доцільність додаткового використання екзогенного мелатоніну в лікуванні цієї категорії хворих.</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2.</w:t>
      </w:r>
      <w:r>
        <w:rPr>
          <w:rFonts w:ascii="Times New Roman" w:hAnsi="Times New Roman"/>
          <w:sz w:val="28"/>
          <w:szCs w:val="28"/>
          <w:lang w:val="uk-UA"/>
        </w:rPr>
        <w:tab/>
        <w:t>Клінічні прояви ФРШК у хворих з надлишковою МТ у порівнянні з пацієнтами, які мають нормальну МТ, характеризуються більш інтенсивною клінічною симптоматикою, зокрема вищим сумарним балом за шкалою GSRS – (9,5 ± 0,3) та (7,6 ± 0,4) балів відповідно, переважанням симптомів моторної дисфункції на фоні нормогіпоацидності та вищою частотою поєднання ФД та СПК (48,4 та 21,9 % відповідно). В психовегетативному статусі хворі з надлишковою МТ мають вірогідно вищі рівні алекситимії – (68,0 ± 1,0) та (61,1 ± 1,5) балів відповідно), депресії ((10,7 ± 0,7) та (5,1 ± 0,7) балів відповідно), особистісної ((53,3 ± 1,0) та (46,0 ± 1,4) балів відповідно) і ситуативної тривожності ((48,5 ± 1,1) та (41,4 ± 1,2) балів відповідно).</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3.</w:t>
      </w:r>
      <w:r>
        <w:rPr>
          <w:rFonts w:ascii="Times New Roman" w:hAnsi="Times New Roman"/>
          <w:sz w:val="28"/>
          <w:szCs w:val="28"/>
          <w:lang w:val="uk-UA"/>
        </w:rPr>
        <w:tab/>
        <w:t xml:space="preserve">У хворих на ФРШК спостерігається зниження екскреції із сечею 6-СОМ, обернено пропорційне ІМТ: при надлишковій МТ рівень екскреції 6-СОМ знижується щонайменше в 2 рази від показників здорових осіб – до (14,4 ± 0,8) нг/мл; у хворих з нормальною МТ екскреція 6-СОМ знижена в меншій мірі – до (19,1 ± 1,3) нг/мл (при нормі (30,5 ± 2,9) нг/мл). Зниження екскреції 6-СОМ у хворих на ФРШК з надлишковою МТ корелює з підвищенням концентрації сироваткового лептину до (25,1 ± 2,1) нг/мл та зниженням концентрації </w:t>
      </w:r>
      <w:r>
        <w:rPr>
          <w:rFonts w:ascii="Times New Roman" w:hAnsi="Times New Roman"/>
          <w:sz w:val="28"/>
          <w:szCs w:val="28"/>
          <w:lang w:val="uk-UA"/>
        </w:rPr>
        <w:lastRenderedPageBreak/>
        <w:t>загального греліну сироватки до (103,0 ± 5,4) пг/мл і супроводжується зміною напрямків кореляційних зв’язків між рівнем гормонів порівняно з особами, що мають нормальну МТ.</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4.</w:t>
      </w:r>
      <w:r>
        <w:rPr>
          <w:rFonts w:ascii="Times New Roman" w:hAnsi="Times New Roman"/>
          <w:sz w:val="28"/>
          <w:szCs w:val="28"/>
          <w:lang w:val="uk-UA"/>
        </w:rPr>
        <w:tab/>
        <w:t>Виявлені вірогідні зворотні кореляційні зв’язки між екскрецією 6-СОМ та інтенсивністю клінічної симптоматики, рівнями алекситимії, депресії, особистісної і ситуативної тривожності, показниками симпатико- і парасимпатикотонії.</w:t>
      </w:r>
    </w:p>
    <w:p w:rsidR="006A6786" w:rsidRDefault="006A6786" w:rsidP="006A6786">
      <w:pPr>
        <w:pStyle w:val="Style0"/>
        <w:spacing w:line="360" w:lineRule="auto"/>
        <w:ind w:firstLine="709"/>
        <w:jc w:val="both"/>
        <w:rPr>
          <w:rFonts w:ascii="Times New Roman" w:hAnsi="Times New Roman"/>
          <w:sz w:val="28"/>
          <w:szCs w:val="28"/>
          <w:lang w:val="uk-UA"/>
        </w:rPr>
      </w:pPr>
      <w:r>
        <w:rPr>
          <w:rFonts w:ascii="Times New Roman" w:hAnsi="Times New Roman"/>
          <w:sz w:val="28"/>
          <w:szCs w:val="28"/>
          <w:lang w:val="uk-UA"/>
        </w:rPr>
        <w:t>5.</w:t>
      </w:r>
      <w:r>
        <w:rPr>
          <w:rFonts w:ascii="Times New Roman" w:hAnsi="Times New Roman"/>
          <w:sz w:val="28"/>
          <w:szCs w:val="28"/>
          <w:lang w:val="uk-UA"/>
        </w:rPr>
        <w:tab/>
        <w:t>Додаткове застосування віта-мелатоніну в комплексній терапії хворих на ФРШК з надлишковою МТ супроводжується покращанням сумарних показників суб’єктивної симптоматики (частка хворих з достатньою ефективністю лікування підвищується з 51,2 % до 67,1 %), зменшенням інтенсивності диспепсичного синдрому ((1,79 ± 0,20) проти (2,55 ± 0,32) балів при стандартній терапії) та розладів випорожнень ((1,29 ± 0,18) проти (1,95 ± 0,25) балів). Призначення віта-мелатоніну зменшує рівень алекситимії на (10,0 ± 0,6) %, коригує вегетативний статус (зниження показників парасимпатичного тонусу на (13,3 ± 2,3) %, симпатичного тонусу – на (18,2 ± 2,9) %), нормалізує рівень екскреції 6-СОМ, знижує концентрацію сироваткового лептину на (29,0 ± 6,9) %, підвищує концентрацію загального греліну в сироватці крові на (64,9 ± 18,7) % та нормалізує міжгормональні співвідношення.</w:t>
      </w:r>
    </w:p>
    <w:p w:rsidR="006A6786" w:rsidRDefault="006A6786" w:rsidP="006A6786">
      <w:pPr>
        <w:pStyle w:val="Style0"/>
        <w:spacing w:line="360" w:lineRule="auto"/>
        <w:jc w:val="center"/>
        <w:rPr>
          <w:rFonts w:ascii="Times New Roman" w:hAnsi="Times New Roman"/>
          <w:b/>
          <w:caps/>
          <w:sz w:val="28"/>
          <w:szCs w:val="28"/>
          <w:lang w:val="uk-UA"/>
        </w:rPr>
      </w:pPr>
      <w:r>
        <w:rPr>
          <w:rFonts w:ascii="Times New Roman" w:hAnsi="Times New Roman"/>
          <w:sz w:val="28"/>
          <w:szCs w:val="28"/>
          <w:lang w:val="uk-UA"/>
        </w:rPr>
        <w:br w:type="page"/>
      </w:r>
      <w:r>
        <w:rPr>
          <w:rFonts w:ascii="Times New Roman" w:hAnsi="Times New Roman"/>
          <w:b/>
          <w:caps/>
          <w:sz w:val="28"/>
          <w:szCs w:val="28"/>
          <w:lang w:val="uk-UA"/>
        </w:rPr>
        <w:lastRenderedPageBreak/>
        <w:t>Практичні рекомендації</w:t>
      </w:r>
    </w:p>
    <w:p w:rsidR="006A6786" w:rsidRDefault="006A6786" w:rsidP="006A6786">
      <w:pPr>
        <w:pStyle w:val="Style0"/>
        <w:spacing w:line="360" w:lineRule="auto"/>
        <w:ind w:left="360"/>
        <w:jc w:val="both"/>
        <w:rPr>
          <w:rFonts w:ascii="Times New Roman" w:hAnsi="Times New Roman"/>
          <w:sz w:val="28"/>
          <w:szCs w:val="28"/>
          <w:lang w:val="uk-UA"/>
        </w:rPr>
      </w:pPr>
    </w:p>
    <w:p w:rsidR="006A6786" w:rsidRDefault="006A6786" w:rsidP="006A6786">
      <w:pPr>
        <w:spacing w:line="360" w:lineRule="auto"/>
        <w:ind w:firstLine="709"/>
        <w:jc w:val="both"/>
        <w:rPr>
          <w:sz w:val="28"/>
          <w:szCs w:val="28"/>
          <w:lang w:val="uk-UA"/>
        </w:rPr>
      </w:pPr>
      <w:r>
        <w:rPr>
          <w:sz w:val="28"/>
          <w:szCs w:val="28"/>
          <w:lang w:val="uk-UA"/>
        </w:rPr>
        <w:t>1.</w:t>
      </w:r>
      <w:r>
        <w:rPr>
          <w:sz w:val="28"/>
          <w:szCs w:val="28"/>
          <w:lang w:val="uk-UA"/>
        </w:rPr>
        <w:tab/>
        <w:t>Для оцінки ступеня дисгормональних розладів як підґрунтя розвитку синдрому взаємного обтяження у хворих на ФРШК з надлишковою МТ слід визначати рівень екскреції 6-СОМ та сироваткові концентрації мелатонін-асоційованих гормонів – лептину та греліну.</w:t>
      </w:r>
    </w:p>
    <w:p w:rsidR="006A6786" w:rsidRDefault="006A6786" w:rsidP="006A6786">
      <w:pPr>
        <w:spacing w:line="360" w:lineRule="auto"/>
        <w:ind w:firstLine="709"/>
        <w:jc w:val="both"/>
        <w:rPr>
          <w:sz w:val="28"/>
          <w:szCs w:val="28"/>
          <w:lang w:val="uk-UA"/>
        </w:rPr>
      </w:pPr>
    </w:p>
    <w:p w:rsidR="006A6786" w:rsidRDefault="006A6786" w:rsidP="006A6786">
      <w:pPr>
        <w:spacing w:line="360" w:lineRule="auto"/>
        <w:ind w:firstLine="709"/>
        <w:jc w:val="both"/>
        <w:rPr>
          <w:sz w:val="28"/>
          <w:szCs w:val="28"/>
          <w:lang w:val="uk-UA"/>
        </w:rPr>
      </w:pPr>
      <w:r>
        <w:rPr>
          <w:sz w:val="28"/>
          <w:szCs w:val="28"/>
          <w:lang w:val="uk-UA"/>
        </w:rPr>
        <w:t>2.</w:t>
      </w:r>
      <w:r>
        <w:rPr>
          <w:sz w:val="28"/>
          <w:szCs w:val="28"/>
          <w:lang w:val="uk-UA"/>
        </w:rPr>
        <w:tab/>
        <w:t>Недостатню ефективність стандартної терапії ФРШК можна прогнозувати на підставі низької екскреції 6-СОМ та високого рівня алекситимії, які свідчать про наявність дисгормональних та психосоматичних розладів. Зниження екскреції 6-СОМ з сечею щонайменше в 2 рази від норми та рівень алекситимії більше 74 балів за TAS-20 у хворих на ФРШК з надлишковою МТ слід розцінювати як вірогідні предиктори неефективності стандартної терапії ФРШК.</w:t>
      </w:r>
    </w:p>
    <w:p w:rsidR="006A6786" w:rsidRDefault="006A6786" w:rsidP="006A6786">
      <w:pPr>
        <w:spacing w:line="360" w:lineRule="auto"/>
        <w:ind w:firstLine="709"/>
        <w:jc w:val="both"/>
        <w:rPr>
          <w:sz w:val="28"/>
          <w:szCs w:val="28"/>
          <w:lang w:val="uk-UA"/>
        </w:rPr>
      </w:pPr>
    </w:p>
    <w:p w:rsidR="006A6786" w:rsidRDefault="006A6786" w:rsidP="006A6786">
      <w:pPr>
        <w:spacing w:line="360" w:lineRule="auto"/>
        <w:ind w:firstLine="709"/>
        <w:jc w:val="both"/>
        <w:rPr>
          <w:sz w:val="28"/>
          <w:szCs w:val="28"/>
          <w:lang w:val="uk-UA"/>
        </w:rPr>
      </w:pPr>
      <w:r>
        <w:rPr>
          <w:sz w:val="28"/>
          <w:szCs w:val="28"/>
          <w:lang w:val="uk-UA"/>
        </w:rPr>
        <w:t>3.</w:t>
      </w:r>
      <w:r>
        <w:rPr>
          <w:sz w:val="28"/>
          <w:szCs w:val="28"/>
          <w:lang w:val="uk-UA"/>
        </w:rPr>
        <w:tab/>
        <w:t>В якості ефективного засобу корекції клінічної симптоматики, психовегетативних розладів і дисбалансу в гормональній регуляторній системі мелатонін-лептин-грелін у хворих на ФРШК з надлишковою МТ у комплексній терапії доцільно застосовувати препарат „Віта-мелатонін” (ЗАТ „Київський вітамінний завод”) в дозі 3 мг на ніч за 30 хвилин до звичного для хворого часу засинання протягом не менше 4 тижнів.</w:t>
      </w:r>
    </w:p>
    <w:p w:rsidR="006A6786" w:rsidRDefault="006A6786" w:rsidP="006A6786">
      <w:pPr>
        <w:spacing w:line="360" w:lineRule="auto"/>
        <w:ind w:firstLine="709"/>
        <w:jc w:val="center"/>
        <w:rPr>
          <w:b/>
          <w:sz w:val="28"/>
          <w:szCs w:val="28"/>
          <w:lang w:val="uk-UA"/>
        </w:rPr>
      </w:pPr>
      <w:r>
        <w:rPr>
          <w:sz w:val="28"/>
          <w:szCs w:val="28"/>
          <w:lang w:val="uk-UA"/>
        </w:rPr>
        <w:br w:type="page"/>
      </w:r>
      <w:r>
        <w:rPr>
          <w:b/>
          <w:sz w:val="28"/>
          <w:szCs w:val="28"/>
          <w:lang w:val="uk-UA"/>
        </w:rPr>
        <w:lastRenderedPageBreak/>
        <w:t>Додаток А</w:t>
      </w:r>
    </w:p>
    <w:p w:rsidR="006A6786" w:rsidRDefault="006A6786" w:rsidP="006A6786">
      <w:pPr>
        <w:spacing w:line="360" w:lineRule="auto"/>
        <w:jc w:val="center"/>
        <w:rPr>
          <w:b/>
          <w:sz w:val="28"/>
          <w:szCs w:val="28"/>
          <w:lang w:val="en-US"/>
        </w:rPr>
      </w:pPr>
      <w:r>
        <w:rPr>
          <w:noProof/>
          <w:sz w:val="28"/>
          <w:szCs w:val="28"/>
          <w:lang w:eastAsia="ru-RU"/>
        </w:rPr>
        <w:drawing>
          <wp:inline distT="0" distB="0" distL="0" distR="0">
            <wp:extent cx="6057900" cy="8801100"/>
            <wp:effectExtent l="0" t="0" r="0" b="0"/>
            <wp:docPr id="132" name="Рисунок 132" descr="..\..\..\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3\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7900" cy="8801100"/>
                    </a:xfrm>
                    <a:prstGeom prst="rect">
                      <a:avLst/>
                    </a:prstGeom>
                    <a:noFill/>
                    <a:ln>
                      <a:noFill/>
                    </a:ln>
                  </pic:spPr>
                </pic:pic>
              </a:graphicData>
            </a:graphic>
          </wp:inline>
        </w:drawing>
      </w:r>
    </w:p>
    <w:p w:rsidR="006A6786" w:rsidRDefault="006A6786" w:rsidP="006A6786">
      <w:pPr>
        <w:spacing w:line="360" w:lineRule="auto"/>
        <w:jc w:val="center"/>
        <w:rPr>
          <w:sz w:val="28"/>
          <w:szCs w:val="28"/>
          <w:lang w:val="uk-UA"/>
        </w:rPr>
      </w:pPr>
      <w:r>
        <w:rPr>
          <w:sz w:val="28"/>
          <w:szCs w:val="28"/>
          <w:lang w:val="uk-UA"/>
        </w:rPr>
        <w:br w:type="page"/>
      </w:r>
      <w:r>
        <w:rPr>
          <w:noProof/>
          <w:sz w:val="28"/>
          <w:szCs w:val="28"/>
          <w:lang w:eastAsia="ru-RU"/>
        </w:rPr>
        <w:lastRenderedPageBreak/>
        <w:drawing>
          <wp:inline distT="0" distB="0" distL="0" distR="0">
            <wp:extent cx="6296025" cy="8896350"/>
            <wp:effectExtent l="0" t="0" r="9525" b="0"/>
            <wp:docPr id="131" name="Рисунок 131" descr="..\..\..\A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3\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8896350"/>
                    </a:xfrm>
                    <a:prstGeom prst="rect">
                      <a:avLst/>
                    </a:prstGeom>
                    <a:noFill/>
                    <a:ln>
                      <a:noFill/>
                    </a:ln>
                  </pic:spPr>
                </pic:pic>
              </a:graphicData>
            </a:graphic>
          </wp:inline>
        </w:drawing>
      </w:r>
      <w:r>
        <w:rPr>
          <w:sz w:val="28"/>
          <w:szCs w:val="28"/>
          <w:lang w:val="uk-UA"/>
        </w:rPr>
        <w:br w:type="page"/>
      </w:r>
      <w:r>
        <w:rPr>
          <w:noProof/>
          <w:sz w:val="28"/>
          <w:szCs w:val="28"/>
          <w:lang w:eastAsia="ru-RU"/>
        </w:rPr>
        <w:lastRenderedPageBreak/>
        <w:drawing>
          <wp:inline distT="0" distB="0" distL="0" distR="0">
            <wp:extent cx="6276975" cy="8915400"/>
            <wp:effectExtent l="0" t="0" r="9525" b="0"/>
            <wp:docPr id="130" name="Рисунок 130" descr="..\..\..\A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3\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76975" cy="8915400"/>
                    </a:xfrm>
                    <a:prstGeom prst="rect">
                      <a:avLst/>
                    </a:prstGeom>
                    <a:noFill/>
                    <a:ln>
                      <a:noFill/>
                    </a:ln>
                  </pic:spPr>
                </pic:pic>
              </a:graphicData>
            </a:graphic>
          </wp:inline>
        </w:drawing>
      </w:r>
    </w:p>
    <w:p w:rsidR="006A6786" w:rsidRDefault="006A6786" w:rsidP="006A6786">
      <w:pPr>
        <w:spacing w:line="360" w:lineRule="auto"/>
        <w:jc w:val="center"/>
        <w:rPr>
          <w:sz w:val="28"/>
          <w:szCs w:val="28"/>
          <w:lang w:val="uk-UA"/>
        </w:rPr>
      </w:pPr>
      <w:r>
        <w:rPr>
          <w:sz w:val="28"/>
          <w:szCs w:val="28"/>
          <w:lang w:val="uk-UA"/>
        </w:rPr>
        <w:br w:type="page"/>
      </w:r>
      <w:r>
        <w:rPr>
          <w:noProof/>
          <w:sz w:val="28"/>
          <w:szCs w:val="28"/>
          <w:lang w:eastAsia="ru-RU"/>
        </w:rPr>
        <w:lastRenderedPageBreak/>
        <w:drawing>
          <wp:inline distT="0" distB="0" distL="0" distR="0">
            <wp:extent cx="6296025" cy="8782050"/>
            <wp:effectExtent l="0" t="0" r="9525" b="0"/>
            <wp:docPr id="129" name="Рисунок 129" descr="..\..\..\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3\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96025" cy="8782050"/>
                    </a:xfrm>
                    <a:prstGeom prst="rect">
                      <a:avLst/>
                    </a:prstGeom>
                    <a:noFill/>
                    <a:ln>
                      <a:noFill/>
                    </a:ln>
                  </pic:spPr>
                </pic:pic>
              </a:graphicData>
            </a:graphic>
          </wp:inline>
        </w:drawing>
      </w:r>
      <w:r>
        <w:rPr>
          <w:sz w:val="28"/>
          <w:szCs w:val="28"/>
          <w:lang w:val="uk-UA"/>
        </w:rPr>
        <w:br w:type="page"/>
      </w:r>
      <w:r>
        <w:rPr>
          <w:noProof/>
          <w:sz w:val="28"/>
          <w:szCs w:val="28"/>
          <w:lang w:eastAsia="ru-RU"/>
        </w:rPr>
        <w:lastRenderedPageBreak/>
        <w:drawing>
          <wp:inline distT="0" distB="0" distL="0" distR="0">
            <wp:extent cx="6296025" cy="8924925"/>
            <wp:effectExtent l="0" t="0" r="9525" b="9525"/>
            <wp:docPr id="128" name="Рисунок 128" descr="..\..\..\A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3\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96025" cy="8924925"/>
                    </a:xfrm>
                    <a:prstGeom prst="rect">
                      <a:avLst/>
                    </a:prstGeom>
                    <a:noFill/>
                    <a:ln>
                      <a:noFill/>
                    </a:ln>
                  </pic:spPr>
                </pic:pic>
              </a:graphicData>
            </a:graphic>
          </wp:inline>
        </w:drawing>
      </w:r>
      <w:r>
        <w:rPr>
          <w:sz w:val="28"/>
          <w:szCs w:val="28"/>
          <w:lang w:val="uk-UA"/>
        </w:rPr>
        <w:br w:type="page"/>
      </w:r>
      <w:r>
        <w:rPr>
          <w:noProof/>
          <w:sz w:val="28"/>
          <w:szCs w:val="28"/>
          <w:lang w:eastAsia="ru-RU"/>
        </w:rPr>
        <w:lastRenderedPageBreak/>
        <w:drawing>
          <wp:inline distT="0" distB="0" distL="0" distR="0">
            <wp:extent cx="6296025" cy="8953500"/>
            <wp:effectExtent l="0" t="0" r="9525" b="0"/>
            <wp:docPr id="31" name="Рисунок 31" descr="..\..\..\A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3\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6025" cy="8953500"/>
                    </a:xfrm>
                    <a:prstGeom prst="rect">
                      <a:avLst/>
                    </a:prstGeom>
                    <a:noFill/>
                    <a:ln>
                      <a:noFill/>
                    </a:ln>
                  </pic:spPr>
                </pic:pic>
              </a:graphicData>
            </a:graphic>
          </wp:inline>
        </w:drawing>
      </w:r>
      <w:r>
        <w:rPr>
          <w:sz w:val="28"/>
          <w:szCs w:val="28"/>
          <w:lang w:val="uk-UA"/>
        </w:rPr>
        <w:br w:type="page"/>
      </w:r>
      <w:r>
        <w:rPr>
          <w:noProof/>
          <w:sz w:val="28"/>
          <w:szCs w:val="28"/>
          <w:lang w:eastAsia="ru-RU"/>
        </w:rPr>
        <w:lastRenderedPageBreak/>
        <w:drawing>
          <wp:inline distT="0" distB="0" distL="0" distR="0">
            <wp:extent cx="6296025" cy="9077325"/>
            <wp:effectExtent l="0" t="0" r="9525" b="9525"/>
            <wp:docPr id="30" name="Рисунок 30" descr="..\..\..\A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3\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96025" cy="9077325"/>
                    </a:xfrm>
                    <a:prstGeom prst="rect">
                      <a:avLst/>
                    </a:prstGeom>
                    <a:noFill/>
                    <a:ln>
                      <a:noFill/>
                    </a:ln>
                  </pic:spPr>
                </pic:pic>
              </a:graphicData>
            </a:graphic>
          </wp:inline>
        </w:drawing>
      </w:r>
      <w:r>
        <w:rPr>
          <w:sz w:val="28"/>
          <w:szCs w:val="28"/>
          <w:lang w:val="uk-UA"/>
        </w:rPr>
        <w:br w:type="page"/>
      </w:r>
      <w:r>
        <w:rPr>
          <w:noProof/>
          <w:sz w:val="28"/>
          <w:szCs w:val="28"/>
          <w:lang w:eastAsia="ru-RU"/>
        </w:rPr>
        <w:lastRenderedPageBreak/>
        <w:drawing>
          <wp:inline distT="0" distB="0" distL="0" distR="0">
            <wp:extent cx="6296025" cy="8943975"/>
            <wp:effectExtent l="0" t="0" r="9525" b="9525"/>
            <wp:docPr id="29" name="Рисунок 29" descr="..\..\..\A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3\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6025" cy="8943975"/>
                    </a:xfrm>
                    <a:prstGeom prst="rect">
                      <a:avLst/>
                    </a:prstGeom>
                    <a:noFill/>
                    <a:ln>
                      <a:noFill/>
                    </a:ln>
                  </pic:spPr>
                </pic:pic>
              </a:graphicData>
            </a:graphic>
          </wp:inline>
        </w:drawing>
      </w:r>
      <w:r>
        <w:rPr>
          <w:sz w:val="28"/>
          <w:szCs w:val="28"/>
          <w:lang w:val="uk-UA"/>
        </w:rPr>
        <w:br w:type="page"/>
      </w:r>
      <w:r>
        <w:rPr>
          <w:noProof/>
          <w:sz w:val="28"/>
          <w:szCs w:val="28"/>
          <w:lang w:eastAsia="ru-RU"/>
        </w:rPr>
        <w:lastRenderedPageBreak/>
        <w:drawing>
          <wp:inline distT="0" distB="0" distL="0" distR="0">
            <wp:extent cx="6324600" cy="8915400"/>
            <wp:effectExtent l="0" t="0" r="0" b="0"/>
            <wp:docPr id="28" name="Рисунок 28" descr="..\..\..\A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3\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8915400"/>
                    </a:xfrm>
                    <a:prstGeom prst="rect">
                      <a:avLst/>
                    </a:prstGeom>
                    <a:noFill/>
                    <a:ln>
                      <a:noFill/>
                    </a:ln>
                  </pic:spPr>
                </pic:pic>
              </a:graphicData>
            </a:graphic>
          </wp:inline>
        </w:drawing>
      </w:r>
      <w:r>
        <w:rPr>
          <w:sz w:val="28"/>
          <w:szCs w:val="28"/>
          <w:lang w:val="uk-UA"/>
        </w:rPr>
        <w:br w:type="page"/>
      </w:r>
    </w:p>
    <w:p w:rsidR="006A6786" w:rsidRDefault="006A6786" w:rsidP="006A6786">
      <w:pPr>
        <w:spacing w:line="360" w:lineRule="auto"/>
        <w:jc w:val="center"/>
        <w:rPr>
          <w:sz w:val="28"/>
          <w:szCs w:val="28"/>
          <w:lang w:val="uk-UA"/>
        </w:rPr>
        <w:sectPr w:rsidR="006A6786" w:rsidSect="006A6786">
          <w:pgSz w:w="11906" w:h="16838"/>
          <w:pgMar w:top="1134" w:right="567" w:bottom="1134" w:left="1418" w:header="720" w:footer="720" w:gutter="0"/>
          <w:cols w:space="720"/>
          <w:titlePg/>
        </w:sectPr>
      </w:pPr>
    </w:p>
    <w:p w:rsidR="006A6786" w:rsidRDefault="006A6786" w:rsidP="006A6786">
      <w:pPr>
        <w:spacing w:line="360" w:lineRule="auto"/>
        <w:jc w:val="center"/>
        <w:rPr>
          <w:b/>
          <w:caps/>
          <w:sz w:val="28"/>
          <w:szCs w:val="28"/>
          <w:lang w:val="uk-UA"/>
        </w:rPr>
      </w:pPr>
      <w:r>
        <w:rPr>
          <w:b/>
          <w:caps/>
          <w:sz w:val="28"/>
          <w:szCs w:val="28"/>
          <w:lang w:val="uk-UA"/>
        </w:rPr>
        <w:lastRenderedPageBreak/>
        <w:t>Список використаних джерел</w:t>
      </w:r>
    </w:p>
    <w:p w:rsidR="006A6786" w:rsidRDefault="006A6786" w:rsidP="006A6786">
      <w:pPr>
        <w:spacing w:line="360" w:lineRule="auto"/>
        <w:rPr>
          <w:caps/>
          <w:sz w:val="28"/>
          <w:szCs w:val="28"/>
          <w:lang w:val="uk-UA"/>
        </w:rPr>
      </w:pPr>
    </w:p>
    <w:tbl>
      <w:tblPr>
        <w:tblW w:w="9828" w:type="dxa"/>
        <w:tblLayout w:type="fixed"/>
        <w:tblLook w:val="01E0" w:firstRow="1" w:lastRow="1" w:firstColumn="1" w:lastColumn="1" w:noHBand="0" w:noVBand="0"/>
      </w:tblPr>
      <w:tblGrid>
        <w:gridCol w:w="828"/>
        <w:gridCol w:w="9000"/>
      </w:tblGrid>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sz w:val="28"/>
                <w:szCs w:val="28"/>
                <w:lang w:val="uk-UA"/>
              </w:rPr>
              <w:t>Functional gastroduodenal disorders [Електронний ресурс] / J. Tack, N. J. Talley, M. Camilleri [et al.] // Gastroenterology. – 2006. – Vol.130. – P.1466-1479. – Режим доступу до журналу: http://www.romecriteria.org/pdfs/p1466FunctionalGastroduodenal1.pdf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Передерий В. Г. Эффективность сульпирида при функциональной диспепсии, вызванной </w:t>
            </w:r>
            <w:r>
              <w:rPr>
                <w:sz w:val="28"/>
                <w:szCs w:val="28"/>
                <w:lang w:val="uk-UA"/>
              </w:rPr>
              <w:t xml:space="preserve">H. рylori / </w:t>
            </w:r>
            <w:r>
              <w:rPr>
                <w:bCs/>
                <w:sz w:val="28"/>
                <w:szCs w:val="28"/>
                <w:lang w:val="uk-UA"/>
              </w:rPr>
              <w:t>В. Г. Передерий, А. Ю. Чернов // Сучасна гастроентерологія. – 2004. - №1. – С. 25-28.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Haag S. Symptom patterns in functional dyspepsia and irritable bowel syndrome: relationship to disturbances in gastric emptying and response to a nutrient challenge in consulters and non-consulters / S. Haag, N. J. Talley, G. Holtmann // Gut. – 2004. – Vol. 53. – P.1445-1451.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Functional bowel disorders [Електронний ресурс] / G. F. Longstreth, W. G. Thompson, W. D. Chey [et al.] // Gastroenterology. – 2006. – Vol.130. – P.1480-1491. – Режим доступу до журналу: http://www.romecriteria.org/pdfs/p1480FBDs.pdf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Accumulation of co-morbidity associated with overweight / E. A. Molenaar, E. J. C. Van Ameijden, D. E. Grobbee, M. E. Numans // </w:t>
            </w:r>
            <w:r>
              <w:rPr>
                <w:bCs/>
                <w:sz w:val="28"/>
                <w:szCs w:val="28"/>
                <w:lang w:val="uk-UA"/>
              </w:rPr>
              <w:t xml:space="preserve">Gut. – 2005. </w:t>
            </w:r>
            <w:r>
              <w:rPr>
                <w:sz w:val="28"/>
                <w:szCs w:val="28"/>
                <w:lang w:val="uk-UA"/>
              </w:rPr>
              <w:t>– Vol.</w:t>
            </w:r>
            <w:r>
              <w:rPr>
                <w:bCs/>
                <w:sz w:val="28"/>
                <w:szCs w:val="28"/>
                <w:lang w:val="uk-UA"/>
              </w:rPr>
              <w:t xml:space="preserve"> 54 (Suppl. VII). – P. A232.</w:t>
            </w:r>
            <w:r>
              <w:rPr>
                <w:sz w:val="28"/>
                <w:szCs w:val="28"/>
                <w:lang w:val="uk-UA"/>
              </w:rPr>
              <w:t xml:space="preserve">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Body mass index and chronic unexplained gastrointestinal symptoms: an adult endoscopic population based study / P. Aro, J. Ronkainen, N.J. Talley et al. // Gut. – 2005. – Vol. 54. – P. 1377-1383.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Is There a Role for Gastric Accommodation and Satiety in Asymptomatic Obese People? [Електронний ресурс] / D. Kim, M. Camilleri, J. A. Murray [et al.] // Obesity Research. – 2001. – Vol. 9. – P. 655-661. – Режим доступу до журналу: http://www.obesityresearch.org/cgi/reprint/9/655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Association of upper and lower gastrointestinal tract symptoms with body mass index in an Australian cohort [Електронний ресурс] / N. J. Talley, C. Quan, M. P. Jones, M.Horowitz // Neurogastroenterology and Motility. – 2004. – № 4. – P. 413-419. – Режим доступу до журналу: http://www.blackwell-synergy.com/doi/abs/10.1111/j.1365-2982.2004.00530.x</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Talley N. J. Obesity and chronic gastrointestinal tract in young adults: A birth cohort study [Електронний ресурс] / N. J. Talley, S. Howell, R. Poulton // Amer. J. of Gastroenterology. – 2004. – Vol. </w:t>
            </w:r>
            <w:r>
              <w:rPr>
                <w:bCs/>
                <w:sz w:val="28"/>
                <w:szCs w:val="28"/>
                <w:lang w:val="uk-UA"/>
              </w:rPr>
              <w:t xml:space="preserve">99, </w:t>
            </w:r>
            <w:r>
              <w:rPr>
                <w:sz w:val="28"/>
                <w:szCs w:val="28"/>
                <w:lang w:val="uk-UA"/>
              </w:rPr>
              <w:t>№ 9.</w:t>
            </w:r>
            <w:r>
              <w:rPr>
                <w:bCs/>
                <w:sz w:val="28"/>
                <w:szCs w:val="28"/>
                <w:lang w:val="uk-UA"/>
              </w:rPr>
              <w:t xml:space="preserve"> – P.</w:t>
            </w:r>
            <w:r>
              <w:rPr>
                <w:sz w:val="28"/>
                <w:szCs w:val="28"/>
                <w:lang w:val="uk-UA"/>
              </w:rPr>
              <w:t>1807-1814. – Режим доступу до журналу: http://www.blackwell-synergy.com/doi/abs/10.1111/j.1572-0241.2004.30388.x?journalCode=ajg</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bCs/>
                <w:sz w:val="28"/>
                <w:szCs w:val="28"/>
                <w:lang w:val="uk-UA"/>
              </w:rPr>
              <w:t xml:space="preserve">Functional dyspepsia, delayed gastric emptying and impaired quality of life </w:t>
            </w:r>
            <w:r>
              <w:rPr>
                <w:sz w:val="28"/>
                <w:szCs w:val="28"/>
                <w:lang w:val="uk-UA"/>
              </w:rPr>
              <w:t xml:space="preserve">/ </w:t>
            </w:r>
            <w:r>
              <w:rPr>
                <w:bCs/>
                <w:sz w:val="28"/>
                <w:szCs w:val="28"/>
                <w:lang w:val="uk-UA"/>
              </w:rPr>
              <w:t xml:space="preserve">N. J. Talley, G. R. Locke, L. Brian [et al.] // </w:t>
            </w:r>
            <w:r>
              <w:rPr>
                <w:iCs/>
                <w:sz w:val="28"/>
                <w:szCs w:val="28"/>
                <w:lang w:val="uk-UA"/>
              </w:rPr>
              <w:t>Gut</w:t>
            </w:r>
            <w:r>
              <w:rPr>
                <w:sz w:val="28"/>
                <w:szCs w:val="28"/>
                <w:lang w:val="uk-UA"/>
              </w:rPr>
              <w:t xml:space="preserve">. – 2005. – Vol.55. – No.7. – P.933-938.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sz w:val="28"/>
                <w:szCs w:val="28"/>
                <w:lang w:val="uk-UA"/>
              </w:rPr>
              <w:t>Functional Gasrointestinal Disorders: An update for the Psychiatrist [Електронний ресурс] / M. P. Jones, M. D. Crowell, K. W. Olden, F. Greed // Psychosomatics. – 2007. – Vol. 48. – P. 93-102. – Режим доступу до журналу: http://psy.psychiatryonline.org/cgi/reprint/48/93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bCs/>
                <w:sz w:val="28"/>
                <w:szCs w:val="28"/>
                <w:lang w:val="uk-UA"/>
              </w:rPr>
              <w:t xml:space="preserve">Wilhelmsen I. The role of psychosocial factors in gastrointestinal disorders </w:t>
            </w:r>
            <w:r>
              <w:rPr>
                <w:sz w:val="28"/>
                <w:szCs w:val="28"/>
                <w:lang w:val="uk-UA"/>
              </w:rPr>
              <w:t xml:space="preserve">/ </w:t>
            </w:r>
            <w:r>
              <w:rPr>
                <w:bCs/>
                <w:sz w:val="28"/>
                <w:szCs w:val="28"/>
                <w:lang w:val="uk-UA"/>
              </w:rPr>
              <w:t xml:space="preserve">I. Wilhelmsen // </w:t>
            </w:r>
            <w:r>
              <w:rPr>
                <w:iCs/>
                <w:sz w:val="28"/>
                <w:szCs w:val="28"/>
                <w:lang w:val="uk-UA"/>
              </w:rPr>
              <w:t xml:space="preserve">Gut. – </w:t>
            </w:r>
            <w:r>
              <w:rPr>
                <w:sz w:val="28"/>
                <w:szCs w:val="28"/>
                <w:lang w:val="uk-UA"/>
              </w:rPr>
              <w:t xml:space="preserve">2000. – Vol. </w:t>
            </w:r>
            <w:r>
              <w:rPr>
                <w:bCs/>
                <w:sz w:val="28"/>
                <w:szCs w:val="28"/>
                <w:lang w:val="uk-UA"/>
              </w:rPr>
              <w:t xml:space="preserve">47 </w:t>
            </w:r>
            <w:r>
              <w:rPr>
                <w:sz w:val="28"/>
                <w:szCs w:val="28"/>
                <w:lang w:val="uk-UA"/>
              </w:rPr>
              <w:t xml:space="preserve">(Suppl. IV). – P. iv73-iv75.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Alexithymia as Predictor of Treatment Outcome in Patients with Functional Gastrointestinal Disorders </w:t>
            </w:r>
            <w:r>
              <w:rPr>
                <w:sz w:val="28"/>
                <w:szCs w:val="28"/>
                <w:lang w:val="uk-UA"/>
              </w:rPr>
              <w:t xml:space="preserve">[Електронний ресурс] / P. Porcelli, R. M. Bagby, G. J. Taylor [et al.] // Psychosomatic Medicine. – 2003. – Vol. 65. </w:t>
            </w:r>
            <w:r>
              <w:rPr>
                <w:bCs/>
                <w:sz w:val="28"/>
                <w:szCs w:val="28"/>
                <w:lang w:val="uk-UA"/>
              </w:rPr>
              <w:t xml:space="preserve">– P. </w:t>
            </w:r>
            <w:r>
              <w:rPr>
                <w:sz w:val="28"/>
                <w:szCs w:val="28"/>
                <w:lang w:val="uk-UA"/>
              </w:rPr>
              <w:t>911-918. – Режим доступу до журналу: http://www.psychosomaticmedicine.org/cgi/reprint/65/5/911.pdf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Binge-Eating Disorder in Brazilian Women on a Weight-Loss Program [Електронний ресурс] / M. B. F. Borges, M. R. Jorge, C. M. Morgan [et al.] // Obesity Research. – 2002. – Vol. 10. – P. 1127-1134. – Режим доступу до журналу: http://www.obesityresearch.org/cgi/reprint/10/1127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Presence of melatonin</w:t>
            </w:r>
            <w:r>
              <w:rPr>
                <w:noProof/>
                <w:sz w:val="28"/>
                <w:szCs w:val="28"/>
                <w:lang w:eastAsia="ru-RU"/>
              </w:rPr>
              <w:drawing>
                <wp:inline distT="0" distB="0" distL="0" distR="0">
                  <wp:extent cx="66675" cy="10477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675" cy="104775"/>
                          </a:xfrm>
                          <a:prstGeom prst="rect">
                            <a:avLst/>
                          </a:prstGeom>
                          <a:noFill/>
                          <a:ln>
                            <a:noFill/>
                          </a:ln>
                        </pic:spPr>
                      </pic:pic>
                    </a:graphicData>
                  </a:graphic>
                </wp:inline>
              </w:drawing>
            </w:r>
            <w:r>
              <w:rPr>
                <w:bCs/>
                <w:sz w:val="28"/>
                <w:szCs w:val="28"/>
                <w:lang w:val="uk-UA"/>
              </w:rPr>
              <w:t xml:space="preserve"> in the human hepatobiliary-gastrointestinal tract </w:t>
            </w:r>
            <w:r>
              <w:rPr>
                <w:sz w:val="28"/>
                <w:szCs w:val="28"/>
                <w:lang w:val="uk-UA"/>
              </w:rPr>
              <w:t>[Електронний ресурс] /</w:t>
            </w:r>
            <w:r>
              <w:rPr>
                <w:bCs/>
                <w:sz w:val="28"/>
                <w:szCs w:val="28"/>
                <w:lang w:val="uk-UA"/>
              </w:rPr>
              <w:t xml:space="preserve"> M.</w:t>
            </w:r>
            <w:r>
              <w:rPr>
                <w:sz w:val="28"/>
                <w:szCs w:val="28"/>
                <w:lang w:val="uk-UA"/>
              </w:rPr>
              <w:t xml:space="preserve"> </w:t>
            </w:r>
            <w:r>
              <w:rPr>
                <w:bCs/>
                <w:sz w:val="28"/>
                <w:szCs w:val="28"/>
                <w:lang w:val="uk-UA"/>
              </w:rPr>
              <w:t xml:space="preserve">Messner, G. Huether, T. Lorf [et al.] // </w:t>
            </w:r>
            <w:r>
              <w:rPr>
                <w:sz w:val="28"/>
                <w:szCs w:val="28"/>
                <w:lang w:val="uk-UA"/>
              </w:rPr>
              <w:t xml:space="preserve">Life Sciences. – 2001. – Vol. 69, No. 5. </w:t>
            </w:r>
            <w:r>
              <w:rPr>
                <w:bCs/>
                <w:sz w:val="28"/>
                <w:szCs w:val="28"/>
                <w:lang w:val="uk-UA"/>
              </w:rPr>
              <w:t xml:space="preserve">– P. </w:t>
            </w:r>
            <w:r>
              <w:rPr>
                <w:sz w:val="28"/>
                <w:szCs w:val="28"/>
                <w:lang w:val="uk-UA"/>
              </w:rPr>
              <w:t>543-551. – Режим доступу до журналу: http://lib.bioinfo.pl/pmid:11510949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sz w:val="28"/>
                <w:szCs w:val="28"/>
                <w:lang w:val="uk-UA"/>
              </w:rPr>
              <w:t>Konturek S. J. Localization and biological activities of melatonin in intact and diseased gastrointestinal tract [Електронний ресурс] / S. J. Konturek, P. C. Konturek, I. Brzozowska // J Physiol Pharmacol. – 2007. – Vol. 57, No. 3. – P. 381-405. – Режим доступу до журналу: http://www.jpp.krakow.pl/cgi/reprint/fulltext/57/3/381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sz w:val="28"/>
                <w:szCs w:val="28"/>
                <w:lang w:val="uk-UA"/>
              </w:rPr>
              <w:t>Малиновская Н. К. Роль мелатонина в регуляции функций желудочно-кишечного тракта / Н. К. Малиновская, С. И. Рапопорт // Клиническая медицина. – 1999. - №8. – С. 4-9.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Konturek P. C. Duodenal alkaline secretion: its mechanisms and role in mucosal protection against gastric acid </w:t>
            </w:r>
            <w:r>
              <w:rPr>
                <w:sz w:val="28"/>
                <w:szCs w:val="28"/>
                <w:lang w:val="uk-UA"/>
              </w:rPr>
              <w:t>[Електронний ресурс] /</w:t>
            </w:r>
            <w:r>
              <w:rPr>
                <w:bCs/>
                <w:sz w:val="28"/>
                <w:szCs w:val="28"/>
                <w:lang w:val="uk-UA"/>
              </w:rPr>
              <w:t xml:space="preserve"> P. C.</w:t>
            </w:r>
            <w:r>
              <w:rPr>
                <w:sz w:val="28"/>
                <w:szCs w:val="28"/>
                <w:lang w:val="uk-UA"/>
              </w:rPr>
              <w:t xml:space="preserve"> </w:t>
            </w:r>
            <w:r>
              <w:rPr>
                <w:bCs/>
                <w:sz w:val="28"/>
                <w:szCs w:val="28"/>
                <w:lang w:val="uk-UA"/>
              </w:rPr>
              <w:t xml:space="preserve">Konturek, S. J. Konturek, E. G. Hahn // </w:t>
            </w:r>
            <w:r>
              <w:rPr>
                <w:sz w:val="28"/>
                <w:szCs w:val="28"/>
                <w:lang w:val="uk-UA"/>
              </w:rPr>
              <w:t xml:space="preserve">Digestive and Liver Disease. – 2004. – Vol. 36, No. 8. </w:t>
            </w:r>
            <w:r>
              <w:rPr>
                <w:bCs/>
                <w:sz w:val="28"/>
                <w:szCs w:val="28"/>
                <w:lang w:val="uk-UA"/>
              </w:rPr>
              <w:t xml:space="preserve">– P. </w:t>
            </w:r>
            <w:r>
              <w:rPr>
                <w:sz w:val="28"/>
                <w:szCs w:val="28"/>
                <w:lang w:val="uk-UA"/>
              </w:rPr>
              <w:t>505-512. – Режим доступу до журналу: http://www.sciencedirect.com/science?_ob=ArticleURL&amp;_udi=B7582-4CG0RB0</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Potential protective role of melatonin against DBAN-induced oxidative stress in mouse stomach </w:t>
            </w:r>
            <w:r>
              <w:rPr>
                <w:sz w:val="28"/>
                <w:szCs w:val="28"/>
                <w:lang w:val="uk-UA"/>
              </w:rPr>
              <w:t xml:space="preserve">[Електронний ресурс] / </w:t>
            </w:r>
            <w:r>
              <w:rPr>
                <w:bCs/>
                <w:sz w:val="28"/>
                <w:szCs w:val="28"/>
                <w:lang w:val="uk-UA"/>
              </w:rPr>
              <w:t xml:space="preserve">M. H. Abdel-Wahab, H. M. M. Arafa, M. A. El-Mahdy, A. B. Abdel-Naim // Pharmacological Research. – 2002. – </w:t>
            </w:r>
            <w:r>
              <w:rPr>
                <w:sz w:val="28"/>
                <w:szCs w:val="28"/>
                <w:lang w:val="uk-UA"/>
              </w:rPr>
              <w:t>Vol.</w:t>
            </w:r>
            <w:r>
              <w:rPr>
                <w:bCs/>
                <w:sz w:val="28"/>
                <w:szCs w:val="28"/>
                <w:lang w:val="uk-UA"/>
              </w:rPr>
              <w:t xml:space="preserve"> 3. – P. 287-293.</w:t>
            </w:r>
            <w:r>
              <w:rPr>
                <w:sz w:val="28"/>
                <w:szCs w:val="28"/>
                <w:lang w:val="uk-UA"/>
              </w:rPr>
              <w:t xml:space="preserve"> – Режим доступу до журналу: </w:t>
            </w:r>
            <w:r>
              <w:rPr>
                <w:bCs/>
                <w:sz w:val="28"/>
                <w:szCs w:val="28"/>
                <w:lang w:val="uk-UA"/>
              </w:rPr>
              <w:t>http://lib.bioinfo.pl/meid:148977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Melatonin improves bowel symptoms in female patients with irritable bowel syndrome patients: a double blind, placebo controlled study </w:t>
            </w:r>
            <w:r>
              <w:rPr>
                <w:sz w:val="28"/>
                <w:szCs w:val="28"/>
                <w:lang w:val="uk-UA"/>
              </w:rPr>
              <w:t>[Електронний ресурс] /</w:t>
            </w:r>
            <w:r>
              <w:rPr>
                <w:bCs/>
                <w:sz w:val="28"/>
                <w:szCs w:val="28"/>
                <w:lang w:val="uk-UA"/>
              </w:rPr>
              <w:t xml:space="preserve"> W. Z.</w:t>
            </w:r>
            <w:r>
              <w:rPr>
                <w:sz w:val="28"/>
                <w:szCs w:val="28"/>
                <w:lang w:val="uk-UA"/>
              </w:rPr>
              <w:t xml:space="preserve"> </w:t>
            </w:r>
            <w:r>
              <w:rPr>
                <w:bCs/>
                <w:sz w:val="28"/>
                <w:szCs w:val="28"/>
                <w:lang w:val="uk-UA"/>
              </w:rPr>
              <w:t xml:space="preserve">Lu, K. A. Gwee, S. Moochhalla, K. Y. Ho // Alimentary Pharmacology &amp; Therapeutics. – 2005. – </w:t>
            </w:r>
            <w:r>
              <w:rPr>
                <w:sz w:val="28"/>
                <w:szCs w:val="28"/>
                <w:lang w:val="uk-UA"/>
              </w:rPr>
              <w:t>Vol.</w:t>
            </w:r>
            <w:r>
              <w:rPr>
                <w:bCs/>
                <w:sz w:val="28"/>
                <w:szCs w:val="28"/>
                <w:lang w:val="uk-UA"/>
              </w:rPr>
              <w:t xml:space="preserve"> 10. – P. 927.</w:t>
            </w:r>
            <w:r>
              <w:rPr>
                <w:sz w:val="28"/>
                <w:szCs w:val="28"/>
                <w:lang w:val="uk-UA"/>
              </w:rPr>
              <w:t xml:space="preserve"> – Режим доступу до журналу: </w:t>
            </w:r>
            <w:r>
              <w:rPr>
                <w:bCs/>
                <w:sz w:val="28"/>
                <w:szCs w:val="28"/>
                <w:lang w:val="uk-UA"/>
              </w:rPr>
              <w:t>http://www.ingentaconnect.com/content/bsc/apt/2005/00000022/00000010/art00004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Melatonin improves abdominal pain in irritable bowel syndrome patients who have sleep disturbances: a randomised, double blind, placebo controlled study / G. H. Song, P. H. Leng, K. A. Gwee et al. // Gut. – 2005. – Vol. 54. – P. 1402-1407.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Full-Young Ch. Irritable bowel syndrome in the 21st century: Perspectives from Asia or South-east Asia [Електронний ресурс] / Ch. Full-Young, L. Ching-Liang // Journal of Gastroenterology and Hepatology. – 2007. – Vol. 22, No. 1. – Р. 4–12. – Режим доступу до журналу: http://www.blackwell-synergy.com/doi/fulltext/10.1111/j. 1440-1746.2006.04672.x</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A preliminary study of melatonin in irritable bowel syndrome [Електронний ресурс] / L. Saha, S. Malhotra, S. Rana [et al.] // J Clin Gastroenterol. – 2007. – Vol. 41. – Р. 29-32. – Режим доступу до журналу: http://www.jcge.com/pt/re/jclngastro/pdfhandler.00004836-200701000-00005.pdf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Therapeutic effect of melatonin in patients with functional dyspepsia [Електронний ресурс] / G. Klupińska, T. Poplawski, J. Drzewoski [et al.] // J Clin Gastroenterol. – 2007. – Vol. 41. – Р.270-274. – Режим доступу до журналу: http://www.jcge.com/pt/re/jclngastro/pdfhandler.00004836-200703000-00008.pdf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Опарин А. А. Особенности агрессии желудочного сока при дуоденальной язве в зависимости от типа личности больного / А. А. Опарин // Український терапевтичний журнал. – 2005. - №1. – С. 29-31.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Опарин А. Г. Окислительный стресс в механизме реализации психосоматических расстройств при дуоденальной язве у студентов / А. Г. Опарин, А. А. Опарин // Терапевтический архив. – 2005. - №2. – С. 32-34.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Jones M. P. Evaluation and treatment of dyspepsia </w:t>
            </w:r>
            <w:r>
              <w:rPr>
                <w:sz w:val="28"/>
                <w:szCs w:val="28"/>
                <w:lang w:val="uk-UA"/>
              </w:rPr>
              <w:t>[Електронний ресурс]</w:t>
            </w:r>
            <w:r>
              <w:rPr>
                <w:bCs/>
                <w:sz w:val="28"/>
                <w:szCs w:val="28"/>
                <w:lang w:val="uk-UA"/>
              </w:rPr>
              <w:t xml:space="preserve"> / M. P. Jones</w:t>
            </w:r>
            <w:r>
              <w:rPr>
                <w:sz w:val="28"/>
                <w:szCs w:val="28"/>
                <w:lang w:val="uk-UA"/>
              </w:rPr>
              <w:t xml:space="preserve"> </w:t>
            </w:r>
            <w:r>
              <w:rPr>
                <w:bCs/>
                <w:sz w:val="28"/>
                <w:szCs w:val="28"/>
                <w:lang w:val="uk-UA"/>
              </w:rPr>
              <w:t xml:space="preserve">// </w:t>
            </w:r>
            <w:r>
              <w:rPr>
                <w:iCs/>
                <w:sz w:val="28"/>
                <w:szCs w:val="28"/>
                <w:lang w:val="uk-UA"/>
              </w:rPr>
              <w:t xml:space="preserve">Postgraduate Medical Journal. – </w:t>
            </w:r>
            <w:r>
              <w:rPr>
                <w:sz w:val="28"/>
                <w:szCs w:val="28"/>
                <w:lang w:val="uk-UA"/>
              </w:rPr>
              <w:t>2003. – Vol.</w:t>
            </w:r>
            <w:r>
              <w:rPr>
                <w:bCs/>
                <w:sz w:val="28"/>
                <w:szCs w:val="28"/>
                <w:lang w:val="uk-UA"/>
              </w:rPr>
              <w:t>79. – P.</w:t>
            </w:r>
            <w:r>
              <w:rPr>
                <w:sz w:val="28"/>
                <w:szCs w:val="28"/>
                <w:lang w:val="uk-UA"/>
              </w:rPr>
              <w:t>25-29. – Режим доступу до журналу: http://pmj.bmjjournals.com/cgi/reprint/79/929/25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Пиманов С. И. Римский ІІІ консенсус: избранные разделы и комментарии. Пособие для врачей. / С. И. Пиманов, Н. Н. Силивончик. – Витебск: Издательство ВГМУ, 2006. – 160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Фадеенко Г. Д. Функциональные заболевания органов пищеварения / Г. Д. Фадеенко // Медицинская газета «Здоровье Украины». – 2004. – № 18 (103). – С. 12-14.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Функциональная диспепсия: современный взгляд на этиологию, патогенез, диагностику и лечение // Сучасна гастроентерологія. – 2006. – №4. – С. 102-105.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Бабак О. Я. Современный взгляд на терапию функциональной диспепсии / О. Я. Бабак // Medicus Amicus. – 2004. – №6. – С. 6-7.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Передерий В. Г. Современные подходы к диагностике заболеваний пищевода, желудка и двенадцатиперстной кишки: желательная эндоскопическая тактика с точки зрения терапевта / В. Г. Передерий, С. М. Ткач // Український журнал малоінвазивної та ендоскопічної хірургії. – 2003. - №3. – С. 11-12.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Fundamentals of neurogastroenterology: Basic science [Електронний ресурс] / D. Grundy, E. D. Al-Chaer, Q. Aziz [et al.] // Gastroenterology. – 2006. – Vol.130. – P.1391-1411</w:t>
            </w:r>
            <w:r>
              <w:rPr>
                <w:b/>
                <w:sz w:val="28"/>
                <w:szCs w:val="28"/>
                <w:lang w:val="uk-UA"/>
              </w:rPr>
              <w:t xml:space="preserve">. </w:t>
            </w:r>
            <w:r>
              <w:rPr>
                <w:sz w:val="28"/>
                <w:szCs w:val="28"/>
                <w:lang w:val="uk-UA"/>
              </w:rPr>
              <w:t>– Режим доступу до журналу: http://www.romecriteria.org/pdfs/p1391_Fund of Neurogastro-BasicSci.pdf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Applied principles of neurogastroenterology: Physiology / Motility sensation [Електронний ресурс] / J. E. Kellow, F. Azpiroz, M. Delvaux et al. // Gastroenterology. – 2006. – Vol.130. – P.1412-1420</w:t>
            </w:r>
            <w:r>
              <w:rPr>
                <w:b/>
                <w:sz w:val="28"/>
                <w:szCs w:val="28"/>
                <w:lang w:val="uk-UA"/>
              </w:rPr>
              <w:t>.</w:t>
            </w:r>
            <w:r>
              <w:rPr>
                <w:sz w:val="28"/>
                <w:szCs w:val="28"/>
                <w:lang w:val="uk-UA"/>
              </w:rPr>
              <w:t xml:space="preserve"> – Режим доступу до журналу: http://www.romecriteria.org/pdfs/p1412_AppliedPrincofNeuroGI-Phys,Motil.pdf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sz w:val="28"/>
                <w:szCs w:val="28"/>
                <w:lang w:val="uk-UA"/>
              </w:rPr>
              <w:t>Проблема ожиріння в Україні / Н. В. Давиденко, І. П. Смирнова, І. М. Горбась, О. А. Кваша // Журнал практичного лікаря. – 2002. - №1. – С. 81-85.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sz w:val="28"/>
                <w:szCs w:val="28"/>
                <w:lang w:val="uk-UA"/>
              </w:rPr>
              <w:t>Харченко Н.В. Современные взгляды на ожирение и подходы к его лечению / Н. В. Харченко, Г. А. Анохина // Сучасна гастроентерологія. – 2002. - №4. – С. 4-12.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Каминский А. Ожирение: эпидемиология, риски для здоровья, классификация и формы распределения жировой ткани / А. Каминский // Ліки України. – 2005. - №2. – С. 37-41.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Xing J. Alterations of Gastrointestinal Motility in Obesity [Електронний ресурс] / J. Xing, J. D. Z. Chen // Obesity Research. – 2004. – Vol. 12. – P. 1723-1732. – Режим доступу до журналу: http://www.obesityresearch.org/cgi/reprint/12/1723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Hussain Z. Gastrointestinal Issues in the Assessement and Management of the Obese Patient [Електронний ресурс] / Z. Hussain, E. M. M. Quigley // Gastroenterology&amp;Hepatology. – 2007. – Vol. 3. – No. 7. – P. 559-569. – Режим доступу до журналу: http://www.clinicaladvances.com/cgi/reprint/3/7/559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Антропометрические особенности молодых людей с желудочной диспепсией / В. Б. Максименко, Р. В. Левашов, А. В. Гулин [и др.] // Третий Российский научный форум "Санкт-Петербург - Гастро-2001". Гастробюллетень. – 2001. – № 2-3.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Overlap of gastro-oesophageal reflux disease and irritable bowel syndrome: prevalence and risk factors in the general population [Електронний ресурс] / H.-K. Jung, S. Hadler, M. McNally et al. // Alimentary Pharmacology &amp; Therapeutics. – 2007. – Vol. 26, No. 3. – Р. 453–461. – Режим доступу до журналу: http://www.blackwell-synergy.com/doi/abs/10.1111/j.1365-2036.2007.03366.x</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Каминский А. Ожирение: предрасполагающие факторы / А. Каминский // Ліки України. – 2005. - №3. – С. 26-30.</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bCs/>
                <w:sz w:val="28"/>
                <w:szCs w:val="28"/>
                <w:lang w:val="uk-UA"/>
              </w:rPr>
              <w:t xml:space="preserve">Thumshirn M. Pathophysiology of functional dyspepsia </w:t>
            </w:r>
            <w:r>
              <w:rPr>
                <w:sz w:val="28"/>
                <w:szCs w:val="28"/>
                <w:lang w:val="uk-UA"/>
              </w:rPr>
              <w:t xml:space="preserve">/ </w:t>
            </w:r>
            <w:r>
              <w:rPr>
                <w:bCs/>
                <w:sz w:val="28"/>
                <w:szCs w:val="28"/>
                <w:lang w:val="uk-UA"/>
              </w:rPr>
              <w:t xml:space="preserve">M. Thumshirn // </w:t>
            </w:r>
            <w:r>
              <w:rPr>
                <w:iCs/>
                <w:sz w:val="28"/>
                <w:szCs w:val="28"/>
                <w:lang w:val="uk-UA"/>
              </w:rPr>
              <w:t xml:space="preserve">Gut. – </w:t>
            </w:r>
            <w:r>
              <w:rPr>
                <w:sz w:val="28"/>
                <w:szCs w:val="28"/>
                <w:lang w:val="uk-UA"/>
              </w:rPr>
              <w:t xml:space="preserve">2002. – Vol. </w:t>
            </w:r>
            <w:r>
              <w:rPr>
                <w:bCs/>
                <w:sz w:val="28"/>
                <w:szCs w:val="28"/>
                <w:lang w:val="uk-UA"/>
              </w:rPr>
              <w:t>51. – P.</w:t>
            </w:r>
            <w:r>
              <w:rPr>
                <w:sz w:val="28"/>
                <w:szCs w:val="28"/>
                <w:lang w:val="uk-UA"/>
              </w:rPr>
              <w:t xml:space="preserve">63-66.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sz w:val="28"/>
                <w:szCs w:val="28"/>
                <w:lang w:val="uk-UA"/>
              </w:rPr>
              <w:t>Чернов А. Современные взгляды на вопросы этиопатогенеза функциональной диспепсии (початок) / А. Чернов, З. Морозова // Ліки України. – 2001. - №11. – С. 54-56.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Старостин Б.Д. Современные представления о функциональной (неязвенной) диспепсии / Б. Д. Старостин. – Режим доступу: www.drmed.ru/s.php/795.htm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Park M.I. Gastric Motor and Sensory Functions in Obesity [Електронний ресурс] / M.I. Park, M. Camilleri // Obesity Research. – 2005. – Vol. </w:t>
            </w:r>
            <w:r>
              <w:rPr>
                <w:bCs/>
                <w:sz w:val="28"/>
                <w:szCs w:val="28"/>
                <w:lang w:val="uk-UA"/>
              </w:rPr>
              <w:t>13. – P.</w:t>
            </w:r>
            <w:r>
              <w:rPr>
                <w:sz w:val="28"/>
                <w:szCs w:val="28"/>
                <w:lang w:val="uk-UA"/>
              </w:rPr>
              <w:t xml:space="preserve"> 491-500. – Режим доступу до журналу: http://www.obesityresearch.org/cgi/reprint/13/491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Ожирение: этиология, патогенез, клинические аспекты / [Под ред. И.И. Дедова, Г.А. Мельниченко]. – М.: Медицинское информационное агентство, 2004. – 456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Как поставить диагноз функциональной (неязвенной) диспепсии (обзор) / И. В. Маев, И. С. Вьючнова, И. Г. Лебедева, С. С. Якимова // Терапевтический архив. – 2004. - №11. – С. 57-60.</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Leptin secretion and leptin receptor in the human stomach / I. Sobhani, A. Bado, C. Vissuzaine [et al.] // Gut. – 2000. – Vol. 47. – P. 178-183.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Endocrine and Exocrine Secretion of Leptin by the Gastric Mucosa [Електронний ресурс] / P. G. Cammisotto, C. Renaud, D. Gingras [et al.] // Journal of Histochemistry and Cytochemistry. – 2005. – Vol. 53, No.7. – P. 851-860. – Режим доступу до журналу: http://www.jhc.org/cgi/reprint/53/7/851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Secretion of soluble leptin receptors by exocrine and endocrine cells of the gastric mucosa [Електронний ресурс] / P. G. Cammisotto, D. Gingras, C. Renaud [et al.] // Am J Physiol Gastrointest Liver Physiol. – 2006. – Vol. 290. – P. G242-G249. – Режим доступу до журналу: http://ajpgi.physiology.org/cgi/reprint/290/G242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Raguso C. Leptin and the gastrointestinal tract [Електронний ресурс] / C. Raguso, A. J. McCullough // Current Opinion in Gastroenterology. – 2000. – Vol. 16, No. 2. – P.160-165. – Режим доступу до журналу: http://www.co-gastroenterology.com/pt/re/cogastro/abstract.00001574-200003000-00011.htm</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Leptin in the human stomach / S. Cinti, R. de Matteis, E. Ceresi [et al.] // </w:t>
            </w:r>
            <w:r>
              <w:rPr>
                <w:iCs/>
                <w:sz w:val="28"/>
                <w:szCs w:val="28"/>
                <w:lang w:val="uk-UA"/>
              </w:rPr>
              <w:t xml:space="preserve">Gut. – </w:t>
            </w:r>
            <w:r>
              <w:rPr>
                <w:sz w:val="28"/>
                <w:szCs w:val="28"/>
                <w:lang w:val="uk-UA"/>
              </w:rPr>
              <w:t>2001. – Vol.49</w:t>
            </w:r>
            <w:r>
              <w:rPr>
                <w:bCs/>
                <w:sz w:val="28"/>
                <w:szCs w:val="28"/>
                <w:lang w:val="uk-UA"/>
              </w:rPr>
              <w:t xml:space="preserve">. – P. </w:t>
            </w:r>
            <w:r>
              <w:rPr>
                <w:sz w:val="28"/>
                <w:szCs w:val="28"/>
                <w:lang w:val="uk-UA"/>
              </w:rPr>
              <w:t xml:space="preserve">155.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Каминский А. Ожирение: энергетические механизмы регуляции массы тела / А. Каминский, А. Коваленко // Ліки України. – 2005. - №4. – С. 41-45.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Демидова Т.Ю. Нейрогуморальные аспекты регуляции энергетического обмена / Т. Ю. Демидова, А. С. Аметов, А. В. Селиванова // Терапевтический архив. – 2004. - №12. – С. 75-78.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Neary N.M. Gut and mind / N. M. Neary, C. J. Small, S. R. Bloom </w:t>
            </w:r>
            <w:r>
              <w:rPr>
                <w:bCs/>
                <w:sz w:val="28"/>
                <w:szCs w:val="28"/>
                <w:lang w:val="uk-UA"/>
              </w:rPr>
              <w:t xml:space="preserve">// </w:t>
            </w:r>
            <w:r>
              <w:rPr>
                <w:iCs/>
                <w:sz w:val="28"/>
                <w:szCs w:val="28"/>
                <w:lang w:val="uk-UA"/>
              </w:rPr>
              <w:t xml:space="preserve">Gut. – </w:t>
            </w:r>
            <w:r>
              <w:rPr>
                <w:sz w:val="28"/>
                <w:szCs w:val="28"/>
                <w:lang w:val="uk-UA"/>
              </w:rPr>
              <w:t>2003. – Vol.52</w:t>
            </w:r>
            <w:r>
              <w:rPr>
                <w:bCs/>
                <w:sz w:val="28"/>
                <w:szCs w:val="28"/>
                <w:lang w:val="uk-UA"/>
              </w:rPr>
              <w:t xml:space="preserve">. – P. </w:t>
            </w:r>
            <w:r>
              <w:rPr>
                <w:sz w:val="28"/>
                <w:szCs w:val="28"/>
                <w:lang w:val="uk-UA"/>
              </w:rPr>
              <w:t xml:space="preserve">918-921.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Expression of leptin and leptin receptor in the human stomach / H. Mix, A. Widjaja, O. Jandi [et al.] // </w:t>
            </w:r>
            <w:r>
              <w:rPr>
                <w:iCs/>
                <w:sz w:val="28"/>
                <w:szCs w:val="28"/>
                <w:lang w:val="uk-UA"/>
              </w:rPr>
              <w:t xml:space="preserve">Gut. – </w:t>
            </w:r>
            <w:r>
              <w:rPr>
                <w:sz w:val="28"/>
                <w:szCs w:val="28"/>
                <w:lang w:val="uk-UA"/>
              </w:rPr>
              <w:t>2000. – Vol.47</w:t>
            </w:r>
            <w:r>
              <w:rPr>
                <w:bCs/>
                <w:sz w:val="28"/>
                <w:szCs w:val="28"/>
                <w:lang w:val="uk-UA"/>
              </w:rPr>
              <w:t xml:space="preserve">. – P. </w:t>
            </w:r>
            <w:r>
              <w:rPr>
                <w:sz w:val="28"/>
                <w:szCs w:val="28"/>
                <w:lang w:val="uk-UA"/>
              </w:rPr>
              <w:t xml:space="preserve">481-486.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Alteration of Amine Oxidase Activity in the Adipose Tissue of Obese Subjects </w:t>
            </w:r>
            <w:r>
              <w:rPr>
                <w:sz w:val="28"/>
                <w:szCs w:val="28"/>
                <w:lang w:val="uk-UA"/>
              </w:rPr>
              <w:t>[Електронний ресурс]</w:t>
            </w:r>
            <w:r>
              <w:rPr>
                <w:bCs/>
                <w:sz w:val="28"/>
                <w:szCs w:val="28"/>
                <w:lang w:val="uk-UA"/>
              </w:rPr>
              <w:t xml:space="preserve"> / V. Visentin, D. Prévot, V. D. De Saint Front [et al.] //</w:t>
            </w:r>
            <w:r>
              <w:rPr>
                <w:bCs/>
                <w:iCs/>
                <w:sz w:val="28"/>
                <w:szCs w:val="28"/>
                <w:lang w:val="uk-UA"/>
              </w:rPr>
              <w:t xml:space="preserve"> Obesity</w:t>
            </w:r>
            <w:r>
              <w:rPr>
                <w:iCs/>
                <w:sz w:val="28"/>
                <w:szCs w:val="28"/>
                <w:lang w:val="uk-UA"/>
              </w:rPr>
              <w:t xml:space="preserve"> Research. </w:t>
            </w:r>
            <w:r>
              <w:rPr>
                <w:sz w:val="28"/>
                <w:szCs w:val="28"/>
                <w:lang w:val="uk-UA"/>
              </w:rPr>
              <w:t xml:space="preserve">– 2004. – Vol. 12. </w:t>
            </w:r>
            <w:r>
              <w:rPr>
                <w:bCs/>
                <w:sz w:val="28"/>
                <w:szCs w:val="28"/>
                <w:lang w:val="uk-UA"/>
              </w:rPr>
              <w:t xml:space="preserve">– P. </w:t>
            </w:r>
            <w:r>
              <w:rPr>
                <w:sz w:val="28"/>
                <w:szCs w:val="28"/>
                <w:lang w:val="uk-UA"/>
              </w:rPr>
              <w:t>547-555. – Режим доступу до журналу: http://www.obesityresearch.org/cgi/reprint/12/547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Leptin Production by the Stomach Is Up-Regulated in Obese (fa/fa) Zucker Rats [Електронний ресурс] / C. Picó, J. Sánchez, P. Oliver, A. Palou // Obesity Research</w:t>
            </w:r>
            <w:r>
              <w:rPr>
                <w:iCs/>
                <w:sz w:val="28"/>
                <w:szCs w:val="28"/>
                <w:lang w:val="uk-UA"/>
              </w:rPr>
              <w:t xml:space="preserve">. – </w:t>
            </w:r>
            <w:r>
              <w:rPr>
                <w:sz w:val="28"/>
                <w:szCs w:val="28"/>
                <w:lang w:val="uk-UA"/>
              </w:rPr>
              <w:t>2002. – Vol. 10</w:t>
            </w:r>
            <w:r>
              <w:rPr>
                <w:bCs/>
                <w:sz w:val="28"/>
                <w:szCs w:val="28"/>
                <w:lang w:val="uk-UA"/>
              </w:rPr>
              <w:t xml:space="preserve">. – P. </w:t>
            </w:r>
            <w:r>
              <w:rPr>
                <w:sz w:val="28"/>
                <w:szCs w:val="28"/>
                <w:lang w:val="uk-UA"/>
              </w:rPr>
              <w:t>932-938. – Режим доступу до журналу: http://www.obesityresearch.org/cgi/reprint/10/932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Serum leptin level in patients with functional dyspepsia [Електронний ресурс] / K. B. Lankarani, M. Moghadami, M. Masoumpoor [et al.] // Digestive and Liver Disease. </w:t>
            </w:r>
            <w:r>
              <w:rPr>
                <w:iCs/>
                <w:sz w:val="28"/>
                <w:szCs w:val="28"/>
                <w:lang w:val="uk-UA"/>
              </w:rPr>
              <w:t xml:space="preserve">– </w:t>
            </w:r>
            <w:r>
              <w:rPr>
                <w:sz w:val="28"/>
                <w:szCs w:val="28"/>
                <w:lang w:val="uk-UA"/>
              </w:rPr>
              <w:t xml:space="preserve">2004. – Vol. </w:t>
            </w:r>
            <w:r>
              <w:rPr>
                <w:bCs/>
                <w:sz w:val="28"/>
                <w:szCs w:val="28"/>
                <w:lang w:val="uk-UA"/>
              </w:rPr>
              <w:t>36, No. 11. – P.717</w:t>
            </w:r>
            <w:r>
              <w:rPr>
                <w:sz w:val="28"/>
                <w:szCs w:val="28"/>
                <w:lang w:val="uk-UA"/>
              </w:rPr>
              <w:t>-721. 16. – Режим доступу до журналу: http://www.sciencedirect.com/science/journal/15908658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Leptin in the control of gastric secretion and gut hormones in humans infected with Helicobacter pylori [Електронний ресурс] / J. W. Konturek, S. J. Konturek, N. Kwircien [et al.] // Scandinavian Journal of Gastroenterology. – 2001. – Vol. 36, № 11. </w:t>
            </w:r>
            <w:r>
              <w:rPr>
                <w:bCs/>
                <w:sz w:val="28"/>
                <w:szCs w:val="28"/>
                <w:lang w:val="uk-UA"/>
              </w:rPr>
              <w:t>– P.</w:t>
            </w:r>
            <w:r>
              <w:rPr>
                <w:sz w:val="28"/>
                <w:szCs w:val="28"/>
                <w:lang w:val="uk-UA"/>
              </w:rPr>
              <w:t>1148-1154. – Режим доступу до журналу: http://www.tandf.co.uk/journals/journal.asp?issn=0036-5521&amp;linktype=1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Leptin and its receptor in normal human gastric mucosa and in Helicobacter pylori-associated gastritis [Електронний ресурс] / M. Breidert, S. Miehlke, A. Glasow [et al.] // Scandinavian Journal of Gastroenterology. – 1999. – Vol. 34, No. 10. </w:t>
            </w:r>
            <w:r>
              <w:rPr>
                <w:bCs/>
                <w:sz w:val="28"/>
                <w:szCs w:val="28"/>
                <w:lang w:val="uk-UA"/>
              </w:rPr>
              <w:t>– P.</w:t>
            </w:r>
            <w:r>
              <w:rPr>
                <w:sz w:val="28"/>
                <w:szCs w:val="28"/>
                <w:lang w:val="uk-UA"/>
              </w:rPr>
              <w:t>954-961. – Режим доступу до журналу: http://www.ingentaconnect.com/content/tandf/sgas/1999/00000034/00000010/art00003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Relationship between ghrelin and Helicobacter pylori infection in Polish adult shepherds and their children [Електронний ресурс] / M. Plonka, P. C. Konturek, W. Bielanski [et al.] // Aliment Pharmacol Ther. – 2006. – Vol. 24, Suppl. 4. – P. 160-168. – Режим доступу до журналу: http://lib.bioinfo.pl/pmid:17209860</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Involvement of Helicobacter pylori infection in neuro-hormonal control of food intake [Електронний ресурс] / P. C. Konturek, M. Cześnikiewicz-Guzik, W. Bielanski, S. J. Konturek // J Physiol Pharmacol. – 2006. – Vol. 57, Suppl. 5. – P. 67-81. – Режим доступу до журналу: http://www.jpp.krakow.pl/cgi/reprint/fulltext/57/suppl_5/67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Konturek S. J. Helicobacter pylori (HP) in neurohormonal control of food intake [Електронний ресурс] / S. J. Konturek, M. Plonka // J Physiol Pharmacol. – 2006. – Vol. 57, Suppl. 2. – P. 38. – Режим доступу до журналу: http://www.jpp.krakow.pl/cgi/reprint/abstract/57/suppl_2/38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Central leptin and cholecystokinin in gastroprotection against ethanol-induced damage [Електронний ресурс] / T. Brzozowski, P. C. Konturek, S. J. Konturek [et al.] // Digestion. </w:t>
            </w:r>
            <w:r>
              <w:rPr>
                <w:iCs/>
                <w:sz w:val="28"/>
                <w:szCs w:val="28"/>
                <w:lang w:val="uk-UA"/>
              </w:rPr>
              <w:t xml:space="preserve">– </w:t>
            </w:r>
            <w:r>
              <w:rPr>
                <w:sz w:val="28"/>
                <w:szCs w:val="28"/>
                <w:lang w:val="uk-UA"/>
              </w:rPr>
              <w:t xml:space="preserve">2000. – Vol. </w:t>
            </w:r>
            <w:r>
              <w:rPr>
                <w:bCs/>
                <w:sz w:val="28"/>
                <w:szCs w:val="28"/>
                <w:lang w:val="uk-UA"/>
              </w:rPr>
              <w:t>62, No. 2-3. – P.126-142</w:t>
            </w:r>
            <w:r>
              <w:rPr>
                <w:sz w:val="28"/>
                <w:szCs w:val="28"/>
                <w:lang w:val="uk-UA"/>
              </w:rPr>
              <w:t>. – Режим доступу до журналу: http://content.karger.com/ProdukteDB/produkte.asp?Aktion=ShowFulltext&amp;ArtikelNr=7805&amp;Ausgabe=224947&amp;ProduktNr=223838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Gastric effects of cholecystokinin and its interaction with leptin on brainstem neuronal activity in neonatal rats [Електронний ресурс] / C. S. Yuan, A. S. Attele, L. Dey, J. T. Xie // Journal of Pharmacology and Experimental Therapeutics. – 2000. – Vol. </w:t>
            </w:r>
            <w:r>
              <w:rPr>
                <w:bCs/>
                <w:sz w:val="28"/>
                <w:szCs w:val="28"/>
                <w:lang w:val="uk-UA"/>
              </w:rPr>
              <w:t>295, No. 1. – P.177-182</w:t>
            </w:r>
            <w:r>
              <w:rPr>
                <w:sz w:val="28"/>
                <w:szCs w:val="28"/>
                <w:lang w:val="uk-UA"/>
              </w:rPr>
              <w:t>. – Режим доступу до журналу: http://jpet.aspetjournals.org/cgi/reprint/295/1/177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Schubert M. L. Gastric secretion [Електронний ресурс] / M. L. Schubert // Current Opinion in Gastroenterology. – 2002. – Vol. </w:t>
            </w:r>
            <w:r>
              <w:rPr>
                <w:bCs/>
                <w:sz w:val="28"/>
                <w:szCs w:val="28"/>
                <w:lang w:val="uk-UA"/>
              </w:rPr>
              <w:t>18, No. 6. – P.639-649</w:t>
            </w:r>
            <w:r>
              <w:rPr>
                <w:sz w:val="28"/>
                <w:szCs w:val="28"/>
                <w:lang w:val="uk-UA"/>
              </w:rPr>
              <w:t>. – Режим доступу до журналу: http://www.co-gastroenterology.com/pt/re/cogastro/abstract.00001574-200211000-00002.htm</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Antral mucosa expresses functional leptin receptors coupled to STAT-3 signalling, which is involved in the control of gastric secretions in the rat [Електронний ресурс] / H. Goiot, S. Attoub, S. Kermorgant [et al.] // Gastroenterology. – 2001. – Vol. </w:t>
            </w:r>
            <w:r>
              <w:rPr>
                <w:bCs/>
                <w:sz w:val="28"/>
                <w:szCs w:val="28"/>
                <w:lang w:val="uk-UA"/>
              </w:rPr>
              <w:t>121, No. 6. – P.1417-1427</w:t>
            </w:r>
            <w:r>
              <w:rPr>
                <w:sz w:val="28"/>
                <w:szCs w:val="28"/>
                <w:lang w:val="uk-UA"/>
              </w:rPr>
              <w:t>. – Режим доступу до журналу: http://cat.inist.fr/?aModele=afficheN&amp;cpsidt=14144478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Ghrelin, appetite and gastric motility: the emerging role of the stomach as an endocrine organ [Електронний ресурс] / A. Inui, A. Asakawa, C. Y. Bowers [et al.] // The FASEB Journal. – 2004. – Vol. 18. – P. 439-456. – Режим доступу до журналу: http://www.fasebj.org/cgi/reprint/18/3/439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Hosoda H. Ghrelin and the regulation of food intake and energy balance [Електронний ресурс] / H. Hosoda, M. Kojima, K. Kangawa // Molecular interventions. – 2002. – Vol. 2, No.8. – P. 494-503. – Режим доступу до журналу: http://www.molinterv.org/cgi/reprint/2/8/494.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b/>
                <w:sz w:val="28"/>
                <w:szCs w:val="28"/>
                <w:lang w:val="uk-UA"/>
              </w:rPr>
            </w:pPr>
            <w:r>
              <w:rPr>
                <w:sz w:val="28"/>
                <w:szCs w:val="28"/>
                <w:lang w:val="uk-UA"/>
              </w:rPr>
              <w:t>Impact on fatigue in irritable bowel syndrome: role of plasma leptin [Електронний ресурс] / T. Piche, A. Abacar, E. Gelsi [et al.] / Abstract WED-G-161: Elsevier, Great Britain, 2005. – 1 електрон. опт. диск (CD-ROM): кольор., 12см. – (13</w:t>
            </w:r>
            <w:r>
              <w:rPr>
                <w:sz w:val="28"/>
                <w:szCs w:val="28"/>
                <w:vertAlign w:val="superscript"/>
                <w:lang w:val="uk-UA"/>
              </w:rPr>
              <w:t>th</w:t>
            </w:r>
            <w:r>
              <w:rPr>
                <w:sz w:val="28"/>
                <w:szCs w:val="28"/>
                <w:lang w:val="uk-UA"/>
              </w:rPr>
              <w:t xml:space="preserve"> United European Gastroenterology Week, 15-19 October 2005, Copenhagen). – Систем. вимоги: Pentium 266; 64 Mb RAM; Windows 2000/XP; active content in Windows XP Service Pack 2;. JavaScript; Acrobat Reader. – Загол. з титул.екрану.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Парфенов А. И. Грелин и пептид YY – регуляторы аппетита и количества потребляемой пищи. Перспективы лечения кахексии и ожирения / А. И. Парфенов // Терапевтический архив. – 2005. - №2. – С. 92-94.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Резников А. Г. Нейроэндокринные механизмы и экспериментальные модели ожирения (обзор литературы и собственных исследований) / А. Г. Резников // Журнал АМН України. – 2003. - №3. – С. 423-437.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Peeters T. L. Central and peripheral mechanisms by which ghrelin regulates gut motility [Електронний ресурс] / T. L. Peeters // J Physiol Pharmacol. – 2003. – Vol. 54, Suppl. 4. – P. 95-103. – Режим доступу до журналу: http://www.jpp.krakow.pl/cgi/reprint/fulltext/54/suppl_4/95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Hyperleptinemia prevents increased plasma ghrelin concentration during short-term moderate caloric restriction in rats [Електронний ресурс] / R. Barazzoni, M. Zanetti, M. Stebel [et al.] // Gastroenterology. – 2003. – Vol. </w:t>
            </w:r>
            <w:r>
              <w:rPr>
                <w:bCs/>
                <w:sz w:val="28"/>
                <w:szCs w:val="28"/>
                <w:lang w:val="uk-UA"/>
              </w:rPr>
              <w:t>124, No. 5. – P.1188-1192</w:t>
            </w:r>
            <w:r>
              <w:rPr>
                <w:sz w:val="28"/>
                <w:szCs w:val="28"/>
                <w:lang w:val="uk-UA"/>
              </w:rPr>
              <w:t>. – Режим доступу до журналу: http://www.ncbi.nlm.nih.gov/sites/entrez?cmd=retrieve&amp;db=pubmed&amp;list_uids=12730858&amp;dopt=AbstractPlus</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Meier U. Endocrine regulation of energy metabolism: review of pathobiochemical and clinical chemical aspects of leptin, ghrelin, adiponectin, and resistin [Електронний ресурс] / U. Meier, A. M. Gressner // Clinical chemistry. – 2004. – Vol. 50, N.9. – P. 1511-1525. – Режим доступу до журналу: http://www.clinchem.org/cgi/reprint/50/9/1511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Kojima M. Ghrelin: structure and function [Електронний ресурс] / M. Kojima, K. Kangawa // Physiol Rev. – 2005. – Vol. 85. – P. 495-522. – Режим доступу до журналу: http://www.prv.org/cgi/reprint/85/495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Circulating ghrelin levels are decreased in human obesity [Електронний ресурс] / M. Tschöp, C. Weyer, P. A. Tataranni [et al.] // Diabetes. – 2001. – Vol. 50. – P. 707-709. – Режим доступу до журналу: http://diabetes.diabetesjournals.org/cgi/reprint/50/707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Бубнова М. Г. Ожирение: причины и механизмы нарастания массы тела, подходы к коррекции [Електронний ресурс] / М. Г. Бубнова // Consilium medicum. – 2005. – Том № 7. – №5. – Режим доступу: www.consilium-medicum.com/media/consilium/05_05/409.shtml.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Ghrelin induces fasted motor activity of the gastrointestinal tract in conscious fed rats [Електронний ресурс] / K. Fujino, A. Inui, A. Asakawa [et al.] // J Physiol</w:t>
            </w:r>
            <w:r>
              <w:rPr>
                <w:iCs/>
                <w:sz w:val="28"/>
                <w:szCs w:val="28"/>
                <w:lang w:val="uk-UA"/>
              </w:rPr>
              <w:t xml:space="preserve">. – </w:t>
            </w:r>
            <w:r>
              <w:rPr>
                <w:sz w:val="28"/>
                <w:szCs w:val="28"/>
                <w:lang w:val="uk-UA"/>
              </w:rPr>
              <w:t>2003. – Vol. 550</w:t>
            </w:r>
            <w:r>
              <w:rPr>
                <w:bCs/>
                <w:sz w:val="28"/>
                <w:szCs w:val="28"/>
                <w:lang w:val="uk-UA"/>
              </w:rPr>
              <w:t xml:space="preserve">. – P. </w:t>
            </w:r>
            <w:r>
              <w:rPr>
                <w:sz w:val="28"/>
                <w:szCs w:val="28"/>
                <w:lang w:val="uk-UA"/>
              </w:rPr>
              <w:t>227-240. – Режим доступу до журналу: http://jp.physoc.org/cgi/reprint/550/1/227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Ghrelin enhances gastric emptying in diabetic gastroparesis: a double blind, placebo controlled, crossover study / C. D. R. Murray, N. M. Martin, M. Patterson [et al.] // Gut</w:t>
            </w:r>
            <w:r>
              <w:rPr>
                <w:iCs/>
                <w:sz w:val="28"/>
                <w:szCs w:val="28"/>
                <w:lang w:val="uk-UA"/>
              </w:rPr>
              <w:t xml:space="preserve">. – </w:t>
            </w:r>
            <w:r>
              <w:rPr>
                <w:sz w:val="28"/>
                <w:szCs w:val="28"/>
                <w:lang w:val="uk-UA"/>
              </w:rPr>
              <w:t>2005. – Vol. 54</w:t>
            </w:r>
            <w:r>
              <w:rPr>
                <w:bCs/>
                <w:sz w:val="28"/>
                <w:szCs w:val="28"/>
                <w:lang w:val="uk-UA"/>
              </w:rPr>
              <w:t xml:space="preserve">. – P. </w:t>
            </w:r>
            <w:r>
              <w:rPr>
                <w:sz w:val="28"/>
                <w:szCs w:val="28"/>
                <w:lang w:val="uk-UA"/>
              </w:rPr>
              <w:t xml:space="preserve">1693-1698.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sz w:val="28"/>
                <w:szCs w:val="28"/>
                <w:lang w:val="uk-UA"/>
              </w:rPr>
              <w:t>Ghrelin stimulates motility in the small intestine of rats through intrinsic cholinergic neurons [Електронний ресурс] / T. Edholm, F. Levin, P. M. Hellstrom [et al.] // Regul Pept</w:t>
            </w:r>
            <w:r>
              <w:rPr>
                <w:iCs/>
                <w:sz w:val="28"/>
                <w:szCs w:val="28"/>
                <w:lang w:val="uk-UA"/>
              </w:rPr>
              <w:t xml:space="preserve">. – </w:t>
            </w:r>
            <w:r>
              <w:rPr>
                <w:sz w:val="28"/>
                <w:szCs w:val="28"/>
                <w:lang w:val="uk-UA"/>
              </w:rPr>
              <w:t>2004. – Vol. 121</w:t>
            </w:r>
            <w:r>
              <w:rPr>
                <w:bCs/>
                <w:sz w:val="28"/>
                <w:szCs w:val="28"/>
                <w:lang w:val="uk-UA"/>
              </w:rPr>
              <w:t xml:space="preserve">. – P. </w:t>
            </w:r>
            <w:r>
              <w:rPr>
                <w:sz w:val="28"/>
                <w:szCs w:val="28"/>
                <w:lang w:val="uk-UA"/>
              </w:rPr>
              <w:t xml:space="preserve">25-30. – Режим доступу до журналу: </w:t>
            </w:r>
            <w:r>
              <w:rPr>
                <w:rStyle w:val="-d"/>
                <w:sz w:val="28"/>
                <w:szCs w:val="28"/>
                <w:lang w:val="uk-UA"/>
              </w:rPr>
              <w:t>http://www.ncbi.nlm.nih.gov/sites/entrez?cmd=Retrieve&amp;db=PubMed&amp;list_uids=15256270&amp;dopt=AbstractPlus</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Growth hormone secretagogue receptors in rat and human gastrointestinal tract and the effects of ghrelin [Електронний ресурс] / N. B. Dass, M. Munonyara, A. K. Bassil [et al.] // Neuroscience</w:t>
            </w:r>
            <w:r>
              <w:rPr>
                <w:iCs/>
                <w:sz w:val="28"/>
                <w:szCs w:val="28"/>
                <w:lang w:val="uk-UA"/>
              </w:rPr>
              <w:t xml:space="preserve">. – </w:t>
            </w:r>
            <w:r>
              <w:rPr>
                <w:sz w:val="28"/>
                <w:szCs w:val="28"/>
                <w:lang w:val="uk-UA"/>
              </w:rPr>
              <w:t>2003. – Vol. 120</w:t>
            </w:r>
            <w:r>
              <w:rPr>
                <w:bCs/>
                <w:sz w:val="28"/>
                <w:szCs w:val="28"/>
                <w:lang w:val="uk-UA"/>
              </w:rPr>
              <w:t xml:space="preserve">. – P. </w:t>
            </w:r>
            <w:r>
              <w:rPr>
                <w:sz w:val="28"/>
                <w:szCs w:val="28"/>
                <w:lang w:val="uk-UA"/>
              </w:rPr>
              <w:t>443-453. – Режим доступу до журналу: http://www.ingentaconnect.com/content/els/03064522/2003/00000120/00000002/art00327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Neural aspects of ghrelin-induced gastroprotection against mucosal injury induced by noxious agents [Електронний ресурс] / T. Brzozowski, S. J. Konturek, Z. Sliwowski [et al.] // J Physiol Pharmacol. – 2006. – Vol. 57, Suppl. 6. – P. 63-76. – Режим доступу до журналу: http://www.jpp.krakow.pl/cgi/reprint/fulltext/57/suppl_6/63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Ghrelin against alendronate-induced gastric damage in rats [Електронний ресурс] S. Ö. Íseri, G. Sener, M. Yüksel [et al.] // Journal of Endocrinology. – 2005. – Vol. 187. – P. 399-406. – Режим доступу до журналу: http://joe.org /cgi/reprint/187/3/399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b/>
                <w:sz w:val="28"/>
                <w:szCs w:val="28"/>
                <w:lang w:val="uk-UA"/>
              </w:rPr>
            </w:pPr>
            <w:r>
              <w:rPr>
                <w:sz w:val="28"/>
                <w:szCs w:val="28"/>
                <w:lang w:val="uk-UA"/>
              </w:rPr>
              <w:t>Role of histamine in ghrelin-induced gastroprotection against acute gastric lesions [Електронний ресурс] / P. C. Konturek, T. Brzozowski, S. J. Konturek [et al.] // Inflamm Res. Published Online First: 23 Feb 2007. – Режим доступу до журналу: http://www.springerlink.com/index/V75227L7N5718841.pdf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Brzozowski T. Implication of brain-gut axis in gastroprotection and healing of ischemia-reperfusion-induced gastric lesions [Електронний ресурс] / T. Brzozowski // J Physiol Pharmacol. – 2006. – Vol. 57, Suppl. 2. – P. 39. – Режим доступу до журналу: http://www.jpp.krakow.pl/cgi/reprint/abstract/57/suppl_2/39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Peeters T. L. Ghrelin: a new player in the control of gastrointestinal functions / T. L. Peeters // Gut. – 2005. – Vol. 54. – P. 1638-1649.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Dyspeptic patients with visceral hypersensitivity: sensitisation of pain specific or multimodal pathways? / J. Vandenberghe, R. Vos, P. Persoons [et al.] // Gut. – 2005. – Vol. 54. – P. 914-919.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Role of postprandial gastric sensitivity, compared to fasting sensitivity, to symptom generation in functional dyspepsia / G. Karamanolis, R. Vos, P. Caenepeel, J. Tack // Gut. – 2005. – Vol. 54 (Suppl. VII). – P. A14.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Autonomic balance in inflammatory bowel diseases, irritable bowel syndrome and gastroesophageal reflux disease [Електронний ресурс] / B. Valerio, B. Prati, G. Aragona [et al.] // Abstract WED- G-197: Elsevier, Great Britain, 2005. – 1 електрон. опт. диск (CD-ROM): кольор., 12см. – (13</w:t>
            </w:r>
            <w:r>
              <w:rPr>
                <w:sz w:val="28"/>
                <w:szCs w:val="28"/>
                <w:vertAlign w:val="superscript"/>
                <w:lang w:val="uk-UA"/>
              </w:rPr>
              <w:t>th</w:t>
            </w:r>
            <w:r>
              <w:rPr>
                <w:sz w:val="28"/>
                <w:szCs w:val="28"/>
                <w:lang w:val="uk-UA"/>
              </w:rPr>
              <w:t xml:space="preserve"> United European Gastroenterology Week, 15-19 October 2005, Copenhagen). – Систем. вимоги: Pentium 266; 64 Mb RAM; Windows 2000/XP; active content in Windows XP Service Pack 2;. JavaScript; Acrobat Reader. – Загол. з титул.екрану.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Vagal stimulation rapidly increases leptin secretion in human stomach [Електронний ресурс] / I. Sobhani, M. Buyse, H. Goiot [et al.] // Gastroenterology. – 2002. – Vol. </w:t>
            </w:r>
            <w:r>
              <w:rPr>
                <w:bCs/>
                <w:sz w:val="28"/>
                <w:szCs w:val="28"/>
                <w:lang w:val="uk-UA"/>
              </w:rPr>
              <w:t>122, No. 2. – P.259-263</w:t>
            </w:r>
            <w:r>
              <w:rPr>
                <w:sz w:val="28"/>
                <w:szCs w:val="28"/>
                <w:lang w:val="uk-UA"/>
              </w:rPr>
              <w:t>. – Режим доступу до журналу: http://apps.isiknowledge.com/CEL/CIW.cgi?SID=U2MmL7@LfMbI7l4HiIi&amp;Func=Abstract&amp;doc=2/8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Решетников О. В. Helicobacter pylori и неязвенная диспепсия / О. В. Решетников // Клиническая медицина. – 2002. - №2. – С. 19-24.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Васильев Ю. Хронический гастрит, в том числе сочетающийся с синдромом неязвенной (функциональной) диспепсии / Ю. Васильев, А. Машарова // Врач. – 2005. - №7. – С. 29-32.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Чернов А. Современные взгляды на вопросы этиопатогенеза функциональной диспепсии (закінчення) / А. Чернов, З. Морозова // Ліки України. – 2001. - №12. – С. 52-55.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Головченко О. І. Ефективність мотиліуму та фосфалюгелю при невиразковій диспепсії / О. І. Головченко // Сучасна гастроентерологія. – 2003. - №3. – С. 45-47.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Головченко О. І. Ефективність ерадикаційної терапії при невиразковій диспепсії / О. І. Головченко // Сучасна гастроентерологія. – 2003. - №2. – С. 25-28.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Губергриц Н. Б. Функциональная диспепсия: «старый» синдром и «новое» заболевание / Н. Б. Губергриц // Сучасна гастроентерологія і гепатологія. – 2000. - №1. – С. 36-39.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Gastric accommodation in non-ulcer dyspepsia and the roles of Helicobacter pylori infection and vagal function / M. Thumshirn, M. Camilleri, S. B. Saslow [et al.] // Gut. – 1999. – Vol. 44, No. 1. – P.55-64.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widowControl w:val="0"/>
              <w:autoSpaceDE w:val="0"/>
              <w:autoSpaceDN w:val="0"/>
              <w:adjustRightInd w:val="0"/>
              <w:spacing w:line="360" w:lineRule="auto"/>
              <w:jc w:val="both"/>
              <w:rPr>
                <w:sz w:val="28"/>
                <w:szCs w:val="28"/>
                <w:lang w:val="uk-UA"/>
              </w:rPr>
            </w:pPr>
            <w:r>
              <w:rPr>
                <w:sz w:val="28"/>
                <w:szCs w:val="28"/>
                <w:lang w:val="uk-UA"/>
              </w:rPr>
              <w:t>Головченко О. І. Ефективність ерадикаційної терапії при функціональній диспепсії, її вплив на рівні гастроінтестинальних гормонів і стан секреторної функції гастродуоденальної зони / О. І. Головченко, О. І. Самойлов // Український терапевтичний журнал. – 2005. - №1. – С. 68-72.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Головченко О. І. Ефективність ерадикації Helicobacter pylori при функціональній диспепсії / О. І. Головченко, О. І. Самойлов // Сучасна гастроентерологія. – 2005. - №3. – С. 50-55.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Plasma ghrelin following cure of Helicobacter pylori </w:t>
            </w:r>
            <w:r>
              <w:rPr>
                <w:sz w:val="28"/>
                <w:szCs w:val="28"/>
                <w:lang w:val="uk-UA"/>
              </w:rPr>
              <w:t xml:space="preserve">/ </w:t>
            </w:r>
            <w:r>
              <w:rPr>
                <w:bCs/>
                <w:sz w:val="28"/>
                <w:szCs w:val="28"/>
                <w:lang w:val="uk-UA"/>
              </w:rPr>
              <w:t xml:space="preserve">C. U. Nwokolo, D. A. Freshwater, P. Ohare, H. S. Randeva // </w:t>
            </w:r>
            <w:r>
              <w:rPr>
                <w:iCs/>
                <w:sz w:val="28"/>
                <w:szCs w:val="28"/>
                <w:lang w:val="uk-UA"/>
              </w:rPr>
              <w:t xml:space="preserve">Gut. – </w:t>
            </w:r>
            <w:r>
              <w:rPr>
                <w:sz w:val="28"/>
                <w:szCs w:val="28"/>
                <w:lang w:val="uk-UA"/>
              </w:rPr>
              <w:t xml:space="preserve">2003. – Vol. </w:t>
            </w:r>
            <w:r>
              <w:rPr>
                <w:bCs/>
                <w:sz w:val="28"/>
                <w:szCs w:val="28"/>
                <w:lang w:val="uk-UA"/>
              </w:rPr>
              <w:t>52. – P.</w:t>
            </w:r>
            <w:r>
              <w:rPr>
                <w:sz w:val="28"/>
                <w:szCs w:val="28"/>
                <w:lang w:val="uk-UA"/>
              </w:rPr>
              <w:t xml:space="preserve"> 637-640.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Effect of Helicobacter pylori infection on ghrelin expression in human gastric mucosa </w:t>
            </w:r>
            <w:r>
              <w:rPr>
                <w:sz w:val="28"/>
                <w:szCs w:val="28"/>
                <w:lang w:val="uk-UA"/>
              </w:rPr>
              <w:t>[Електронний ресурс] /</w:t>
            </w:r>
            <w:r>
              <w:rPr>
                <w:bCs/>
                <w:sz w:val="28"/>
                <w:szCs w:val="28"/>
                <w:lang w:val="uk-UA"/>
              </w:rPr>
              <w:t xml:space="preserve"> A.</w:t>
            </w:r>
            <w:r>
              <w:rPr>
                <w:sz w:val="28"/>
                <w:szCs w:val="28"/>
                <w:lang w:val="uk-UA"/>
              </w:rPr>
              <w:t xml:space="preserve"> </w:t>
            </w:r>
            <w:r>
              <w:rPr>
                <w:bCs/>
                <w:sz w:val="28"/>
                <w:szCs w:val="28"/>
                <w:lang w:val="uk-UA"/>
              </w:rPr>
              <w:t xml:space="preserve">Tatsuguchi, K. Miyake, K. Gudis [et al.] // Am. J. </w:t>
            </w:r>
            <w:r>
              <w:rPr>
                <w:iCs/>
                <w:sz w:val="28"/>
                <w:szCs w:val="28"/>
                <w:lang w:val="uk-UA"/>
              </w:rPr>
              <w:t xml:space="preserve">Gastroenterol. – </w:t>
            </w:r>
            <w:r>
              <w:rPr>
                <w:sz w:val="28"/>
                <w:szCs w:val="28"/>
                <w:lang w:val="uk-UA"/>
              </w:rPr>
              <w:t>2004. – Vol. 99</w:t>
            </w:r>
            <w:r>
              <w:rPr>
                <w:bCs/>
                <w:sz w:val="28"/>
                <w:szCs w:val="28"/>
                <w:lang w:val="uk-UA"/>
              </w:rPr>
              <w:t xml:space="preserve">. – P. </w:t>
            </w:r>
            <w:r>
              <w:rPr>
                <w:sz w:val="28"/>
                <w:szCs w:val="28"/>
                <w:lang w:val="uk-UA"/>
              </w:rPr>
              <w:t>2121-2127. – Режим доступу до журналу: http://www.cababstractsplus.org/google/abstract.asp?AcNo=20043194831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Impaired production of gastric ghrelin in chronic gastritis associated with Helicobacter pylori [Електронний ресурс] / H. Osawa, M. Nakazato, Y. Date [et al.] // Journal of clinical endocrinology &amp; metabolism. – 2005. – Vol. 90, No.1. – P. 10-16. – Режим доступу до журналу: http://jcem.endojournals.org/cgi/reprint/90/1/10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Talley N. J. Dyspepsia: management guidelines for the millennium </w:t>
            </w:r>
            <w:r>
              <w:rPr>
                <w:sz w:val="28"/>
                <w:szCs w:val="28"/>
                <w:lang w:val="uk-UA"/>
              </w:rPr>
              <w:t xml:space="preserve">/ </w:t>
            </w:r>
            <w:r>
              <w:rPr>
                <w:bCs/>
                <w:sz w:val="28"/>
                <w:szCs w:val="28"/>
                <w:lang w:val="uk-UA"/>
              </w:rPr>
              <w:t xml:space="preserve">N. J. Talley // </w:t>
            </w:r>
            <w:r>
              <w:rPr>
                <w:iCs/>
                <w:sz w:val="28"/>
                <w:szCs w:val="28"/>
                <w:lang w:val="uk-UA"/>
              </w:rPr>
              <w:t xml:space="preserve">Gut. – </w:t>
            </w:r>
            <w:r>
              <w:rPr>
                <w:sz w:val="28"/>
                <w:szCs w:val="28"/>
                <w:lang w:val="uk-UA"/>
              </w:rPr>
              <w:t>2002. – Vol.</w:t>
            </w:r>
            <w:r>
              <w:rPr>
                <w:bCs/>
                <w:sz w:val="28"/>
                <w:szCs w:val="28"/>
                <w:lang w:val="uk-UA"/>
              </w:rPr>
              <w:t xml:space="preserve"> 50.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A case-control study of association of Helicobacter pylori infection with morbid obesity in Taiwan [Електронний ресурс] / M. S. Wu, W. J. Lee, H. H. Wang [et al.] / Abstract R. 0177: Canada, Oakville, Pulsus group Inc, 2005. – 1 електрон. опт. диск (CD-ROM): кольор., 12см. – (World Congress of Gastroenterology 2005, Montreal, Canadа, 2005). – Систем. вимоги: Pentium 266; 64 Mb RAM; Windows 98/Me/2000/XP. – Загол. з титул.екрану.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Gastric leptin and Helicobacter pylori infection / T. Azuma, H. Suto, Y. Ito [et al.] // </w:t>
            </w:r>
            <w:r>
              <w:rPr>
                <w:iCs/>
                <w:sz w:val="28"/>
                <w:szCs w:val="28"/>
                <w:lang w:val="uk-UA"/>
              </w:rPr>
              <w:t xml:space="preserve">Gut. – </w:t>
            </w:r>
            <w:r>
              <w:rPr>
                <w:sz w:val="28"/>
                <w:szCs w:val="28"/>
                <w:lang w:val="uk-UA"/>
              </w:rPr>
              <w:t>2001. – Vol.49</w:t>
            </w:r>
            <w:r>
              <w:rPr>
                <w:bCs/>
                <w:sz w:val="28"/>
                <w:szCs w:val="28"/>
                <w:lang w:val="uk-UA"/>
              </w:rPr>
              <w:t xml:space="preserve">. – P. </w:t>
            </w:r>
            <w:r>
              <w:rPr>
                <w:sz w:val="28"/>
                <w:szCs w:val="28"/>
                <w:lang w:val="uk-UA"/>
              </w:rPr>
              <w:t xml:space="preserve">324-329.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Shimzu T. Serum leptin and body mass index in children with H. pylori infection / T. Shimzu, I. Satoh, Y. Yamashiro // </w:t>
            </w:r>
            <w:r>
              <w:rPr>
                <w:iCs/>
                <w:sz w:val="28"/>
                <w:szCs w:val="28"/>
                <w:lang w:val="uk-UA"/>
              </w:rPr>
              <w:t xml:space="preserve">Gut. – </w:t>
            </w:r>
            <w:r>
              <w:rPr>
                <w:sz w:val="28"/>
                <w:szCs w:val="28"/>
                <w:lang w:val="uk-UA"/>
              </w:rPr>
              <w:t>2002. – Vol.50</w:t>
            </w:r>
            <w:r>
              <w:rPr>
                <w:bCs/>
                <w:sz w:val="28"/>
                <w:szCs w:val="28"/>
                <w:lang w:val="uk-UA"/>
              </w:rPr>
              <w:t xml:space="preserve">. – P. </w:t>
            </w:r>
            <w:r>
              <w:rPr>
                <w:sz w:val="28"/>
                <w:szCs w:val="28"/>
                <w:lang w:val="uk-UA"/>
              </w:rPr>
              <w:t xml:space="preserve">142.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Кулагина Г. А. Значение исследования психовегетативного и эмоционального статуса у больных с функциональной диспепсией / Г. А. Кулагина // Український медичний альманах. – 2004. - №6. – С. 70-72.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Вейн А. Нарушения ночного сна, вегетативные и депрессивные расстройства у стационарных больных / А. Вейн, С. Колобов, Г. Ковров, С. Посохов // Врач. – 2004. - №6. – С. 40-41.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Clouse R. E. Use of psychopharmacological agents for functional gastrointestinal disorders / R. E. Clouse, P. J. Lustman // Gut. – 2005. – Vol. 47. – P. 1332-1341.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Смулевич А.Б. Депрессии в общей медицине: Руководство для врачей. – [Електронний ресурс] / А. Б. Смулевич. – Режим доступу: http://www.psychiatry.ru/library/lib/show.php4?id=22 -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Махов В. М. Психосоматические соотношения при функциональных заболеваниях кишечника / В. М. Махов, Л. В. Ромасенко, О. В. Гатаулина, С. А. Галлямова // Российский медицинский журнал. – 2001. - №6. – С. 22-25.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Синдром раздраженной толстой кишки у психически больных [Електронний ресурс] // Журнал неврологии и психиатрии. – 2000. - № 11. – С. 24-30. – Режим доступу: http://nature.web.ru/db/msg.html?mid=1184893&amp;s.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Personality characteristics and irritable bowel syndrome in Shiraz, Southern Iran / S. E. Mousavinasab, M. Gorganinezhad-Moshiri, M. Saberifirouzi [et al.] // The Saudi Journal of Gastroenterology. – 2007. – Vol.13. – No. 4. – P. 168-171.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Маев И. В. Психосоматические аспекты заболеваний желудочно-кишечного тракта / И. В. Маев, Л. М. Барденштейн, О. М. Антоненко, Р. Г. Каплан // Клиническая медицина. – 2002. - №11. – С. 8-13.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Передерий В. Г. Сравнительная оценка эффективности препаратов, применяемых для лечения </w:t>
            </w:r>
            <w:r>
              <w:rPr>
                <w:sz w:val="28"/>
                <w:szCs w:val="28"/>
                <w:lang w:val="uk-UA"/>
              </w:rPr>
              <w:t>H. рylori-негативных больных функциональной диспепсией /</w:t>
            </w:r>
            <w:r>
              <w:rPr>
                <w:bCs/>
                <w:sz w:val="28"/>
                <w:szCs w:val="28"/>
                <w:lang w:val="uk-UA"/>
              </w:rPr>
              <w:t xml:space="preserve"> В. Г.</w:t>
            </w:r>
            <w:r>
              <w:rPr>
                <w:sz w:val="28"/>
                <w:szCs w:val="28"/>
                <w:lang w:val="uk-UA"/>
              </w:rPr>
              <w:t xml:space="preserve"> </w:t>
            </w:r>
            <w:r>
              <w:rPr>
                <w:bCs/>
                <w:sz w:val="28"/>
                <w:szCs w:val="28"/>
                <w:lang w:val="uk-UA"/>
              </w:rPr>
              <w:t>Передерий, А. Ю. Чернов, Ю. А. Володичева // Украинская медицинская газета. – 2006. - №1. – С. 8-9.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Psychological and sex features of delayed gut transit in functional gastrointestinal disorders </w:t>
            </w:r>
            <w:r>
              <w:rPr>
                <w:sz w:val="28"/>
                <w:szCs w:val="28"/>
                <w:lang w:val="uk-UA"/>
              </w:rPr>
              <w:t>[Електронний ресурс] /</w:t>
            </w:r>
            <w:r>
              <w:rPr>
                <w:bCs/>
                <w:sz w:val="28"/>
                <w:szCs w:val="28"/>
                <w:lang w:val="uk-UA"/>
              </w:rPr>
              <w:t xml:space="preserve"> E. J.</w:t>
            </w:r>
            <w:r>
              <w:rPr>
                <w:sz w:val="28"/>
                <w:szCs w:val="28"/>
                <w:lang w:val="uk-UA"/>
              </w:rPr>
              <w:t xml:space="preserve"> </w:t>
            </w:r>
            <w:r>
              <w:rPr>
                <w:bCs/>
                <w:sz w:val="28"/>
                <w:szCs w:val="28"/>
                <w:lang w:val="uk-UA"/>
              </w:rPr>
              <w:t xml:space="preserve">Bennett, P. Evans, A. M. Scott [et al.] // </w:t>
            </w:r>
            <w:r>
              <w:rPr>
                <w:iCs/>
                <w:sz w:val="28"/>
                <w:szCs w:val="28"/>
                <w:lang w:val="uk-UA"/>
              </w:rPr>
              <w:t xml:space="preserve">Gut. – </w:t>
            </w:r>
            <w:r>
              <w:rPr>
                <w:sz w:val="28"/>
                <w:szCs w:val="28"/>
                <w:lang w:val="uk-UA"/>
              </w:rPr>
              <w:t xml:space="preserve">2000. – Vol. </w:t>
            </w:r>
            <w:r>
              <w:rPr>
                <w:bCs/>
                <w:sz w:val="28"/>
                <w:szCs w:val="28"/>
                <w:lang w:val="uk-UA"/>
              </w:rPr>
              <w:t>46</w:t>
            </w:r>
            <w:r>
              <w:rPr>
                <w:sz w:val="28"/>
                <w:szCs w:val="28"/>
                <w:lang w:val="uk-UA"/>
              </w:rPr>
              <w:t xml:space="preserve">. – P. 83-87.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Lu X.-Y. Связь между уровнем лептина и депрессией [Електронний ресурс] / X.-Y. Lu // Российский биомедицинский журнал. – 18.1.2006. – Режим доступу: http://www.medline.ru/news/news.phtml?n=220.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Алекситимия / В. М. Провоторов, Ю. Н. Чернов, О. В. Лышова, А. В. Будневский // Журнал неврологии и психиатрии. – 2000. - №6. – С. 66-70.</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Психосоматические соотношения у больных ишемической болезнью сердца с алекситимией / В. М. Провоторов, А. В. Будневский, А. Я. Кравченко, Т. И. Грекова // Кардиология. – 2001. - №2. – С. 46-49.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Провоторов В.М. Коррекция психологического статуса у больных стенокардией напряжения и алекситимией [Електронний ресурс] / В. М. Провоторов, А. Я. Кравченко, Е. С. Бурлова // Научно-медицинский вестник Центрального Черноземья. – 2005. – № 9. – Режим доступу: http://www.vsma.ac.ru/publ/vestnik/vest/009/html/toc.htm.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Провоторов В. М. Критерии оценки психосоматических нарушений у больных бронхиальной астмой и методы их коррекции [Електронний ресурс] / В. М. Провоторов, Л. С. Сулейманова, А. В. Будневский // Научно-медицинский вестник Центрального Черноземья. – 2005. – № 11. – Режим доступу: http://ns.vsma.ac.ru/publ/vestnik/vest/011/html/011.htm.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Nemiah J. C. A Psychodynamic View of Psychosomatic Medicine </w:t>
            </w:r>
            <w:r>
              <w:rPr>
                <w:sz w:val="28"/>
                <w:szCs w:val="28"/>
                <w:lang w:val="uk-UA"/>
              </w:rPr>
              <w:t xml:space="preserve">[Електронний ресурс] / </w:t>
            </w:r>
            <w:r>
              <w:rPr>
                <w:bCs/>
                <w:sz w:val="28"/>
                <w:szCs w:val="28"/>
                <w:lang w:val="uk-UA"/>
              </w:rPr>
              <w:t xml:space="preserve">J. C. Nemiah // </w:t>
            </w:r>
            <w:r>
              <w:rPr>
                <w:iCs/>
                <w:sz w:val="28"/>
                <w:szCs w:val="28"/>
                <w:lang w:val="uk-UA"/>
              </w:rPr>
              <w:t xml:space="preserve">Psychosomatic Medicine. – </w:t>
            </w:r>
            <w:r>
              <w:rPr>
                <w:sz w:val="28"/>
                <w:szCs w:val="28"/>
                <w:lang w:val="uk-UA"/>
              </w:rPr>
              <w:t xml:space="preserve">2000. – Vol. </w:t>
            </w:r>
            <w:r>
              <w:rPr>
                <w:bCs/>
                <w:sz w:val="28"/>
                <w:szCs w:val="28"/>
                <w:lang w:val="uk-UA"/>
              </w:rPr>
              <w:t>62</w:t>
            </w:r>
            <w:r>
              <w:rPr>
                <w:sz w:val="28"/>
                <w:szCs w:val="28"/>
                <w:lang w:val="uk-UA"/>
              </w:rPr>
              <w:t>. – P. 299-303. – Режим доступу до журналу: http://www.psychosomaticmedicine.org/cgi/reprint/62/3/299.pdf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Alexithymia and Somatosensory Amplification in Functional Dyspepsia </w:t>
            </w:r>
            <w:r>
              <w:rPr>
                <w:sz w:val="28"/>
                <w:szCs w:val="28"/>
                <w:lang w:val="uk-UA"/>
              </w:rPr>
              <w:t>[Електронний ресурс] /</w:t>
            </w:r>
            <w:r>
              <w:rPr>
                <w:bCs/>
                <w:sz w:val="28"/>
                <w:szCs w:val="28"/>
                <w:lang w:val="uk-UA"/>
              </w:rPr>
              <w:t xml:space="preserve"> M. P.</w:t>
            </w:r>
            <w:r>
              <w:rPr>
                <w:sz w:val="28"/>
                <w:szCs w:val="28"/>
                <w:lang w:val="uk-UA"/>
              </w:rPr>
              <w:t xml:space="preserve"> </w:t>
            </w:r>
            <w:r>
              <w:rPr>
                <w:bCs/>
                <w:sz w:val="28"/>
                <w:szCs w:val="28"/>
                <w:lang w:val="uk-UA"/>
              </w:rPr>
              <w:t xml:space="preserve">Jones, A. Schettler, K. Olden, M. D. Crowell // </w:t>
            </w:r>
            <w:r>
              <w:rPr>
                <w:sz w:val="28"/>
                <w:szCs w:val="28"/>
                <w:lang w:val="uk-UA"/>
              </w:rPr>
              <w:t xml:space="preserve">Psychosomatics. – 2004. – Vol. 45, No. 12. </w:t>
            </w:r>
            <w:r>
              <w:rPr>
                <w:bCs/>
                <w:sz w:val="28"/>
                <w:szCs w:val="28"/>
                <w:lang w:val="uk-UA"/>
              </w:rPr>
              <w:t xml:space="preserve">– P. </w:t>
            </w:r>
            <w:r>
              <w:rPr>
                <w:sz w:val="28"/>
                <w:szCs w:val="28"/>
                <w:lang w:val="uk-UA"/>
              </w:rPr>
              <w:t>508-516. – Режим доступу до журналу: http://psy.psychiatryonline.org/cgi/reprint/45/12/508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Alexithymia ratings in bulimia nervosa: clinical correlates </w:t>
            </w:r>
            <w:r>
              <w:rPr>
                <w:sz w:val="28"/>
                <w:szCs w:val="28"/>
                <w:lang w:val="uk-UA"/>
              </w:rPr>
              <w:t>[Електронний ресурс] /</w:t>
            </w:r>
            <w:r>
              <w:rPr>
                <w:bCs/>
                <w:sz w:val="28"/>
                <w:szCs w:val="28"/>
                <w:lang w:val="uk-UA"/>
              </w:rPr>
              <w:t xml:space="preserve"> D. C.</w:t>
            </w:r>
            <w:r>
              <w:rPr>
                <w:sz w:val="28"/>
                <w:szCs w:val="28"/>
                <w:lang w:val="uk-UA"/>
              </w:rPr>
              <w:t xml:space="preserve"> </w:t>
            </w:r>
            <w:r>
              <w:rPr>
                <w:bCs/>
                <w:sz w:val="28"/>
                <w:szCs w:val="28"/>
                <w:lang w:val="uk-UA"/>
              </w:rPr>
              <w:t xml:space="preserve">Jimerson, B. E. Wolfe, D. L. Franko [et al.] // </w:t>
            </w:r>
            <w:r>
              <w:rPr>
                <w:sz w:val="28"/>
                <w:szCs w:val="28"/>
                <w:lang w:val="uk-UA"/>
              </w:rPr>
              <w:t xml:space="preserve">Psychosomatic Medicine. – 2005. – Vol. 56. </w:t>
            </w:r>
            <w:r>
              <w:rPr>
                <w:bCs/>
                <w:sz w:val="28"/>
                <w:szCs w:val="28"/>
                <w:lang w:val="uk-UA"/>
              </w:rPr>
              <w:t xml:space="preserve">– P. </w:t>
            </w:r>
            <w:r>
              <w:rPr>
                <w:sz w:val="28"/>
                <w:szCs w:val="28"/>
                <w:lang w:val="uk-UA"/>
              </w:rPr>
              <w:t>90-93. – Режим доступу до журналу: http://www.psychosomaticmedicine.org/cgi/reprint/56/2/90.pdf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Prevalence of the Night Eating Syndrome in a Psychiatric Population [Електронний ресурс] / J. D. Lundgren, K. C. Allison, S. Crow [et al.] // American Journal of Psychiatry. – 2006. – Vol. 163. – P. 156-158. – Режим доступу до журналу: http://ajp.psychiatryonline.org/cgi/reprint/163/156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Eating behavior correlates of adult weight gain and obesity in healthy women aged 55–65 y [Електронний ресурс] / N. P. Hays, G. P. Bathalon, M. A. McCrory [et al.] // American Journal of Clinical Nutrition. – 2002. – Vol. 75, No. 3. – P. 476-483. – Режим доступу до журналу: http://www.ajcn.org/cgi/reprint/75/3/476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Emotional Eating, Alexithymia, and Binge-Eating Disorder in Obese Women [Електронний ресурс] / S. Pinaquy, H. Chabrol, C. Simon [et al.] // Obesity Research. – 2003. – Vol. 11. – P. 195-201. – Режим доступу до журналу: http://www.obesityresearch.org/cgi/reprint/11/195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Tanofsky-Kraff M. Eating Disorder or Disordered Eating? Non-normative Eating Patterns in Obese Individuals </w:t>
            </w:r>
            <w:r>
              <w:rPr>
                <w:sz w:val="28"/>
                <w:szCs w:val="28"/>
                <w:lang w:val="uk-UA"/>
              </w:rPr>
              <w:t>[Електронний ресурс] /</w:t>
            </w:r>
            <w:r>
              <w:rPr>
                <w:bCs/>
                <w:sz w:val="28"/>
                <w:szCs w:val="28"/>
                <w:lang w:val="uk-UA"/>
              </w:rPr>
              <w:t xml:space="preserve"> M.</w:t>
            </w:r>
            <w:r>
              <w:rPr>
                <w:sz w:val="28"/>
                <w:szCs w:val="28"/>
                <w:lang w:val="uk-UA"/>
              </w:rPr>
              <w:t xml:space="preserve"> </w:t>
            </w:r>
            <w:r>
              <w:rPr>
                <w:bCs/>
                <w:sz w:val="28"/>
                <w:szCs w:val="28"/>
                <w:lang w:val="uk-UA"/>
              </w:rPr>
              <w:t xml:space="preserve">Tanofsky-Kraff, S. Z. Yanovski // </w:t>
            </w:r>
            <w:r>
              <w:rPr>
                <w:iCs/>
                <w:sz w:val="28"/>
                <w:szCs w:val="28"/>
                <w:lang w:val="uk-UA"/>
              </w:rPr>
              <w:t>Obesity Research.</w:t>
            </w:r>
            <w:r>
              <w:rPr>
                <w:sz w:val="28"/>
                <w:szCs w:val="28"/>
                <w:lang w:val="uk-UA"/>
              </w:rPr>
              <w:t xml:space="preserve"> – 2004. – Vol. 12. </w:t>
            </w:r>
            <w:r>
              <w:rPr>
                <w:bCs/>
                <w:sz w:val="28"/>
                <w:szCs w:val="28"/>
                <w:lang w:val="uk-UA"/>
              </w:rPr>
              <w:t xml:space="preserve">– P. </w:t>
            </w:r>
            <w:r>
              <w:rPr>
                <w:sz w:val="28"/>
                <w:szCs w:val="28"/>
                <w:lang w:val="uk-UA"/>
              </w:rPr>
              <w:t>1361-1366. – Режим доступу до журналу: http://www.obesityresearch.org/cgi/reprint/12/1361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Relationship Between Somatosensory Amplification and Alexithymia in a Japanese Psychosomatic Clinic </w:t>
            </w:r>
            <w:r>
              <w:rPr>
                <w:sz w:val="28"/>
                <w:szCs w:val="28"/>
                <w:lang w:val="uk-UA"/>
              </w:rPr>
              <w:t>[Електронний ресурс] /</w:t>
            </w:r>
            <w:r>
              <w:rPr>
                <w:bCs/>
                <w:sz w:val="28"/>
                <w:szCs w:val="28"/>
                <w:lang w:val="uk-UA"/>
              </w:rPr>
              <w:t xml:space="preserve"> M.</w:t>
            </w:r>
            <w:r>
              <w:rPr>
                <w:sz w:val="28"/>
                <w:szCs w:val="28"/>
                <w:lang w:val="uk-UA"/>
              </w:rPr>
              <w:t xml:space="preserve"> </w:t>
            </w:r>
            <w:r>
              <w:rPr>
                <w:bCs/>
                <w:sz w:val="28"/>
                <w:szCs w:val="28"/>
                <w:lang w:val="uk-UA"/>
              </w:rPr>
              <w:t>Nakao, A. J. Barsky, H. Kumano, T. Kuboki // Psychosomatic</w:t>
            </w:r>
            <w:r>
              <w:rPr>
                <w:sz w:val="28"/>
                <w:szCs w:val="28"/>
                <w:lang w:val="uk-UA"/>
              </w:rPr>
              <w:t xml:space="preserve">s. – 2002. – Vol. 43, No. 2. </w:t>
            </w:r>
            <w:r>
              <w:rPr>
                <w:bCs/>
                <w:sz w:val="28"/>
                <w:szCs w:val="28"/>
                <w:lang w:val="uk-UA"/>
              </w:rPr>
              <w:t>– P.</w:t>
            </w:r>
            <w:r>
              <w:rPr>
                <w:sz w:val="28"/>
                <w:szCs w:val="28"/>
                <w:lang w:val="uk-UA"/>
              </w:rPr>
              <w:t>55-60. – Режим доступу до журналу: http://psy.psychiatryonline.org/cgi/reprint/43/2/55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Bazydlo R. Alexithymia and Polysomnographic Measures of Sleep in Healthy Adults </w:t>
            </w:r>
            <w:r>
              <w:rPr>
                <w:sz w:val="28"/>
                <w:szCs w:val="28"/>
                <w:lang w:val="uk-UA"/>
              </w:rPr>
              <w:t>[Електронний ресурс] /</w:t>
            </w:r>
            <w:r>
              <w:rPr>
                <w:bCs/>
                <w:sz w:val="28"/>
                <w:szCs w:val="28"/>
                <w:lang w:val="uk-UA"/>
              </w:rPr>
              <w:t xml:space="preserve"> R.</w:t>
            </w:r>
            <w:r>
              <w:rPr>
                <w:sz w:val="28"/>
                <w:szCs w:val="28"/>
                <w:lang w:val="uk-UA"/>
              </w:rPr>
              <w:t xml:space="preserve"> </w:t>
            </w:r>
            <w:r>
              <w:rPr>
                <w:bCs/>
                <w:sz w:val="28"/>
                <w:szCs w:val="28"/>
                <w:lang w:val="uk-UA"/>
              </w:rPr>
              <w:t xml:space="preserve">Bazydlo, M. A. Lumley, T. Roehrs // </w:t>
            </w:r>
            <w:r>
              <w:rPr>
                <w:sz w:val="28"/>
                <w:szCs w:val="28"/>
                <w:lang w:val="uk-UA"/>
              </w:rPr>
              <w:t xml:space="preserve">Psychosomatic Medicine. – 2001. – Vol. 63. </w:t>
            </w:r>
            <w:r>
              <w:rPr>
                <w:bCs/>
                <w:sz w:val="28"/>
                <w:szCs w:val="28"/>
                <w:lang w:val="uk-UA"/>
              </w:rPr>
              <w:t xml:space="preserve">– P. </w:t>
            </w:r>
            <w:r>
              <w:rPr>
                <w:sz w:val="28"/>
                <w:szCs w:val="28"/>
                <w:lang w:val="uk-UA"/>
              </w:rPr>
              <w:t>56-61. – Режим доступу до журналу: http://www.psychosomaticmedicine.org/cgi/reprint/63/1/56.pdf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A meta-analysis of the placebo response in complementary and alternative medicine trials of irritable bowel syndrome [Електронний ресурс] /</w:t>
            </w:r>
            <w:r>
              <w:rPr>
                <w:rStyle w:val="smallcaps"/>
                <w:sz w:val="28"/>
                <w:szCs w:val="28"/>
                <w:lang w:val="uk-UA"/>
              </w:rPr>
              <w:t xml:space="preserve"> S. D.</w:t>
            </w:r>
            <w:r>
              <w:rPr>
                <w:sz w:val="28"/>
                <w:szCs w:val="28"/>
                <w:lang w:val="uk-UA"/>
              </w:rPr>
              <w:t xml:space="preserve"> </w:t>
            </w:r>
            <w:r>
              <w:rPr>
                <w:rStyle w:val="smallcaps"/>
                <w:sz w:val="28"/>
                <w:szCs w:val="28"/>
                <w:lang w:val="uk-UA"/>
              </w:rPr>
              <w:t>Dorn</w:t>
            </w:r>
            <w:r>
              <w:rPr>
                <w:sz w:val="28"/>
                <w:szCs w:val="28"/>
                <w:lang w:val="uk-UA"/>
              </w:rPr>
              <w:t>,</w:t>
            </w:r>
            <w:r>
              <w:rPr>
                <w:rStyle w:val="smallcaps"/>
                <w:sz w:val="28"/>
                <w:szCs w:val="28"/>
                <w:lang w:val="uk-UA"/>
              </w:rPr>
              <w:t xml:space="preserve"> T. J.</w:t>
            </w:r>
            <w:r>
              <w:rPr>
                <w:sz w:val="28"/>
                <w:szCs w:val="28"/>
                <w:lang w:val="uk-UA"/>
              </w:rPr>
              <w:t xml:space="preserve"> </w:t>
            </w:r>
            <w:r>
              <w:rPr>
                <w:rStyle w:val="smallcaps"/>
                <w:sz w:val="28"/>
                <w:szCs w:val="28"/>
                <w:lang w:val="uk-UA"/>
              </w:rPr>
              <w:t>Kaptchuk</w:t>
            </w:r>
            <w:r>
              <w:rPr>
                <w:sz w:val="28"/>
                <w:szCs w:val="28"/>
                <w:lang w:val="uk-UA"/>
              </w:rPr>
              <w:t xml:space="preserve">, </w:t>
            </w:r>
            <w:r>
              <w:rPr>
                <w:rStyle w:val="smallcaps"/>
                <w:sz w:val="28"/>
                <w:szCs w:val="28"/>
                <w:lang w:val="uk-UA"/>
              </w:rPr>
              <w:t>J. B.</w:t>
            </w:r>
            <w:r>
              <w:rPr>
                <w:sz w:val="28"/>
                <w:szCs w:val="28"/>
                <w:lang w:val="uk-UA"/>
              </w:rPr>
              <w:t xml:space="preserve"> </w:t>
            </w:r>
            <w:r>
              <w:rPr>
                <w:rStyle w:val="smallcaps"/>
                <w:sz w:val="28"/>
                <w:szCs w:val="28"/>
                <w:lang w:val="uk-UA"/>
              </w:rPr>
              <w:t>Park</w:t>
            </w:r>
            <w:r>
              <w:rPr>
                <w:sz w:val="28"/>
                <w:szCs w:val="28"/>
                <w:lang w:val="uk-UA"/>
              </w:rPr>
              <w:t xml:space="preserve"> [et al.] // Neurogastroenterology &amp; Motility. – 2007. – Vol. 19, No. 8. – Р. 630–637. – Режим доступу до журналу: http://www.blackwell-synergy.com/doi/abs/10.1111/j.1365-2982.2007.00937.x</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Karasek M. Melatonin in humans [Електронний ресурс] / M. Karasek, K. Winczyk // J Physiol Pharmacol. – 2006. – Vol. 57, Suppl. 5. – P. 19-39. – Режим доступу до журналу: </w:t>
            </w:r>
            <w:hyperlink r:id="rId20" w:history="1">
              <w:r>
                <w:rPr>
                  <w:rStyle w:val="afc"/>
                  <w:lang w:val="uk-UA"/>
                </w:rPr>
                <w:t>http://www.jpp.krakow.pl/cgi/reprint/fulltext/57/suppl_5/19</w:t>
              </w:r>
            </w:hyperlink>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Bubenic G. A. Gastrointestinal melatonin: Localization, function and clinical relevance (review) / G. A. Bubenic // Digestive Diseases and Sciences. – 2002. – Vol. 47, No. 10. </w:t>
            </w:r>
            <w:r>
              <w:rPr>
                <w:bCs/>
                <w:sz w:val="28"/>
                <w:szCs w:val="28"/>
                <w:lang w:val="uk-UA"/>
              </w:rPr>
              <w:t>– P.</w:t>
            </w:r>
            <w:r>
              <w:rPr>
                <w:sz w:val="28"/>
                <w:szCs w:val="28"/>
                <w:lang w:val="uk-UA"/>
              </w:rPr>
              <w:t xml:space="preserve">2336-2348.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Melatonin: Nature's most versatile biological signal? [Електронний ресурс] / S. R. Pandi-Perumal, V. Srinivasan, G. J. M. Maestroni [et al.] // FEBS Journal. – 2006. – Vol. 273. – P. 2813-2838. – Режим доступу до журналу: http://content.febsjournal.org/cgi/reprint/273/13/2813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Мелатонин в норме и патологии [Под ред. Ф. И. Комарова, С. И. Рапопорта, Н. К. Малиновской, В. Н. Анисимова]. – М: ИД Медпрактика-М, 2004. – 308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bCs/>
                <w:sz w:val="28"/>
                <w:szCs w:val="28"/>
                <w:lang w:val="uk-UA"/>
              </w:rPr>
            </w:pPr>
            <w:r>
              <w:rPr>
                <w:sz w:val="28"/>
                <w:szCs w:val="28"/>
                <w:lang w:val="uk-UA"/>
              </w:rPr>
              <w:t>Малиновская Н. К. Мелатонин: вчера, сегодня, завтра / Н. К. Малиновская // Клиническая медицина. – 2002. - №6. – С. 71-73.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Arendt J. Human pineal physiology and pathology [Електронний ресурс] / J. Arendt. – Режим доступу: http://www.endotext.org/neuroendo/neuroendo15/ch01s05.html.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Підходи до застосування мелатоніну в хемопроменевій терапії злоякісних новоутворів / І. П. Москаленко, П. П. Сорочан, Н. А. Никифорова, О. М. Сухіна // УРЖ. – 2005. – № 13. – С. 100-105.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kern w:val="36"/>
                <w:sz w:val="28"/>
                <w:szCs w:val="28"/>
                <w:lang w:val="uk-UA"/>
              </w:rPr>
              <w:t>Регуляция антиоксидантного гомеостаза и системы детоксикации организма гормоном мелатонином. Роль мелатонин-зависимых рецепторов в реализации этой функции /</w:t>
            </w:r>
            <w:r>
              <w:rPr>
                <w:sz w:val="28"/>
                <w:szCs w:val="28"/>
                <w:lang w:val="uk-UA"/>
              </w:rPr>
              <w:t xml:space="preserve"> И. Ф.</w:t>
            </w:r>
            <w:r>
              <w:rPr>
                <w:bCs/>
                <w:kern w:val="36"/>
                <w:sz w:val="28"/>
                <w:szCs w:val="28"/>
                <w:lang w:val="uk-UA"/>
              </w:rPr>
              <w:t xml:space="preserve"> </w:t>
            </w:r>
            <w:r>
              <w:rPr>
                <w:sz w:val="28"/>
                <w:szCs w:val="28"/>
                <w:lang w:val="uk-UA"/>
              </w:rPr>
              <w:t>Беленичев, Ю. И. Губский, Е. Л. Левицкий [и др.] // Совр. пробл. токсикол. – 2003. – №2. – С. 8-17.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bCs/>
                <w:sz w:val="28"/>
                <w:szCs w:val="28"/>
                <w:lang w:val="uk-UA"/>
              </w:rPr>
            </w:pPr>
            <w:r>
              <w:rPr>
                <w:sz w:val="28"/>
                <w:szCs w:val="28"/>
                <w:lang w:val="uk-UA"/>
              </w:rPr>
              <w:t xml:space="preserve">Drago F. Small doses of melatonin increase intestinal motility in rats / F. Drago, S. Macauda, S. Salehi // Digestive Diseases and Sciences. – 2002. – Vol. 9. – P. 1969-1974.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Melatonin and serotonin effects on gastrointestinal motility [Електронний ресурс] / P. J. Thor, G. Krolczyk, K. Gil [et al.] // J Physiol Pharmacol. – 2007. – Vol. 58, Suppl. 6. – P. 97-105. – Режим доступу до журналу: http://www.jpp.krakow.pl/cgi/reprint/fulltext/58/suppl_6/97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Short fasting dramatically decreases rat duodenal secretory responsiveness to orexin A but not to VIP or melatonin </w:t>
            </w:r>
            <w:r>
              <w:rPr>
                <w:sz w:val="28"/>
                <w:szCs w:val="28"/>
                <w:lang w:val="uk-UA"/>
              </w:rPr>
              <w:t xml:space="preserve">[Електронний ресурс] / G. Flemström, M. Sjöblom, G. Jedstedt, K. E. O. Åkerman // </w:t>
            </w:r>
            <w:r>
              <w:rPr>
                <w:iCs/>
                <w:sz w:val="28"/>
                <w:szCs w:val="28"/>
                <w:lang w:val="uk-UA"/>
              </w:rPr>
              <w:t>Am. J. Physiol. Gastrointest. Liver Physiol.</w:t>
            </w:r>
            <w:r>
              <w:rPr>
                <w:sz w:val="28"/>
                <w:szCs w:val="28"/>
                <w:lang w:val="uk-UA"/>
              </w:rPr>
              <w:t xml:space="preserve"> – 2003. – Vol. 285. </w:t>
            </w:r>
            <w:r>
              <w:rPr>
                <w:bCs/>
                <w:sz w:val="28"/>
                <w:szCs w:val="28"/>
                <w:lang w:val="uk-UA"/>
              </w:rPr>
              <w:t xml:space="preserve">– P. </w:t>
            </w:r>
            <w:r>
              <w:rPr>
                <w:sz w:val="28"/>
                <w:szCs w:val="28"/>
                <w:lang w:val="uk-UA"/>
              </w:rPr>
              <w:t>G1091-G1096. – Режим доступу до журналу: http://ajpgi.physiology.org/cgi/content/full/285/G1091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bCs/>
                <w:sz w:val="28"/>
                <w:szCs w:val="28"/>
                <w:lang w:val="uk-UA"/>
              </w:rPr>
            </w:pPr>
            <w:r>
              <w:rPr>
                <w:bCs/>
                <w:sz w:val="28"/>
                <w:szCs w:val="28"/>
                <w:lang w:val="uk-UA"/>
              </w:rPr>
              <w:t xml:space="preserve">Sjöblom M. Melatonin-induced calcium signaling in clusters of human and rat duodenal enterocytes </w:t>
            </w:r>
            <w:r>
              <w:rPr>
                <w:sz w:val="28"/>
                <w:szCs w:val="28"/>
                <w:lang w:val="uk-UA"/>
              </w:rPr>
              <w:t>[Електронний ресурс] /</w:t>
            </w:r>
            <w:r>
              <w:rPr>
                <w:bCs/>
                <w:sz w:val="28"/>
                <w:szCs w:val="28"/>
                <w:lang w:val="uk-UA"/>
              </w:rPr>
              <w:t xml:space="preserve"> M.</w:t>
            </w:r>
            <w:r>
              <w:rPr>
                <w:sz w:val="28"/>
                <w:szCs w:val="28"/>
                <w:lang w:val="uk-UA"/>
              </w:rPr>
              <w:t xml:space="preserve"> </w:t>
            </w:r>
            <w:r>
              <w:rPr>
                <w:bCs/>
                <w:sz w:val="28"/>
                <w:szCs w:val="28"/>
                <w:lang w:val="uk-UA"/>
              </w:rPr>
              <w:t>Sjöblom, B. Säfsten, G. Flemström // Am. J. Physiol. Gastrointest. Liver Physiol. – 2003. – Vol. 284, No. 6. – P. G1034-G1044.</w:t>
            </w:r>
            <w:r>
              <w:rPr>
                <w:sz w:val="28"/>
                <w:szCs w:val="28"/>
                <w:lang w:val="uk-UA"/>
              </w:rPr>
              <w:t xml:space="preserve"> – Режим доступу до журналу: </w:t>
            </w:r>
            <w:r>
              <w:rPr>
                <w:bCs/>
                <w:sz w:val="28"/>
                <w:szCs w:val="28"/>
                <w:lang w:val="uk-UA"/>
              </w:rPr>
              <w:t>http://ajpgi.physiology.org/cgi/content/full/284/6/G1034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Melatonin's gastroprotective and antistress roles involve both central and peripheral effects [Електронний ресурс] / K. Kato, S. Asai, I. Murai [et al.] // J. Gasroenterol. – 2001. – Vol. 36. </w:t>
            </w:r>
            <w:r>
              <w:rPr>
                <w:bCs/>
                <w:sz w:val="28"/>
                <w:szCs w:val="28"/>
                <w:lang w:val="uk-UA"/>
              </w:rPr>
              <w:t>– P.</w:t>
            </w:r>
            <w:r>
              <w:rPr>
                <w:sz w:val="28"/>
                <w:szCs w:val="28"/>
                <w:lang w:val="uk-UA"/>
              </w:rPr>
              <w:t>91-95. – Режим доступу до журналу: http://sciencelinks.jp/j-east/article/200123/000020012301A0524949.php</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bCs/>
                <w:sz w:val="28"/>
                <w:szCs w:val="28"/>
                <w:lang w:val="uk-UA"/>
              </w:rPr>
            </w:pPr>
            <w:r>
              <w:rPr>
                <w:sz w:val="28"/>
                <w:szCs w:val="28"/>
                <w:lang w:val="uk-UA"/>
              </w:rPr>
              <w:t xml:space="preserve">Circadian rhythm of melatonin and prostaglandin in modulation of stress-induced gastric mucosal lesions in rats [Електронний ресурс] / K. Kato, I. Murai, S. Asai [et al.] // </w:t>
            </w:r>
            <w:r>
              <w:rPr>
                <w:bCs/>
                <w:sz w:val="28"/>
                <w:szCs w:val="28"/>
                <w:lang w:val="uk-UA"/>
              </w:rPr>
              <w:t xml:space="preserve">Alimentary Pharmacology &amp; Therapeutics. – 2002. – </w:t>
            </w:r>
            <w:r>
              <w:rPr>
                <w:sz w:val="28"/>
                <w:szCs w:val="28"/>
                <w:lang w:val="uk-UA"/>
              </w:rPr>
              <w:t>Vol.</w:t>
            </w:r>
            <w:r>
              <w:rPr>
                <w:bCs/>
                <w:sz w:val="28"/>
                <w:szCs w:val="28"/>
                <w:lang w:val="uk-UA"/>
              </w:rPr>
              <w:t xml:space="preserve"> 16. – P. 29-34.</w:t>
            </w:r>
            <w:r>
              <w:rPr>
                <w:sz w:val="28"/>
                <w:szCs w:val="28"/>
                <w:lang w:val="uk-UA"/>
              </w:rPr>
              <w:t xml:space="preserve"> – Режим доступу до журналу: </w:t>
            </w:r>
            <w:r>
              <w:rPr>
                <w:bCs/>
                <w:sz w:val="28"/>
                <w:szCs w:val="28"/>
                <w:lang w:val="uk-UA"/>
              </w:rPr>
              <w:t>http://www.ingentaconnect.com/content/bsc/apt/2002/00000016/A00201s2/art00006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bCs/>
                <w:sz w:val="28"/>
                <w:szCs w:val="28"/>
                <w:lang w:val="uk-UA"/>
              </w:rPr>
            </w:pPr>
            <w:r>
              <w:rPr>
                <w:bCs/>
                <w:sz w:val="28"/>
                <w:szCs w:val="28"/>
                <w:lang w:val="uk-UA"/>
              </w:rPr>
              <w:t xml:space="preserve">Flemström G. Epithelial Cells and Their Neighbors. II. New perspectives on efferent signaling between brain, neuroendocrine cells, and gut epithelial cells </w:t>
            </w:r>
            <w:r>
              <w:rPr>
                <w:sz w:val="28"/>
                <w:szCs w:val="28"/>
                <w:lang w:val="uk-UA"/>
              </w:rPr>
              <w:t>[Електронний ресурс] /</w:t>
            </w:r>
            <w:r>
              <w:rPr>
                <w:bCs/>
                <w:sz w:val="28"/>
                <w:szCs w:val="28"/>
                <w:lang w:val="uk-UA"/>
              </w:rPr>
              <w:t xml:space="preserve"> G.</w:t>
            </w:r>
            <w:r>
              <w:rPr>
                <w:sz w:val="28"/>
                <w:szCs w:val="28"/>
                <w:lang w:val="uk-UA"/>
              </w:rPr>
              <w:t xml:space="preserve"> </w:t>
            </w:r>
            <w:r>
              <w:rPr>
                <w:bCs/>
                <w:sz w:val="28"/>
                <w:szCs w:val="28"/>
                <w:lang w:val="uk-UA"/>
              </w:rPr>
              <w:t xml:space="preserve">Flemström, M. Sjöblom // Am J Physiol Gastrointest Liver Physiol. – 2005. – </w:t>
            </w:r>
            <w:r>
              <w:rPr>
                <w:sz w:val="28"/>
                <w:szCs w:val="28"/>
                <w:lang w:val="uk-UA"/>
              </w:rPr>
              <w:t xml:space="preserve">Vol. 289. – P. </w:t>
            </w:r>
            <w:r>
              <w:rPr>
                <w:bCs/>
                <w:sz w:val="28"/>
                <w:szCs w:val="28"/>
                <w:lang w:val="uk-UA"/>
              </w:rPr>
              <w:t>G377-G380.</w:t>
            </w:r>
            <w:r>
              <w:rPr>
                <w:sz w:val="28"/>
                <w:szCs w:val="28"/>
                <w:lang w:val="uk-UA"/>
              </w:rPr>
              <w:t xml:space="preserve"> – Режим доступу до журналу: </w:t>
            </w:r>
            <w:r>
              <w:rPr>
                <w:bCs/>
                <w:sz w:val="28"/>
                <w:szCs w:val="28"/>
                <w:lang w:val="uk-UA"/>
              </w:rPr>
              <w:t>http://ajpgi.physiology.org/cgi/reprint/289/3/G377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Allen A. Gastroduodenal mucus bicarbonate barrier: protection against acid and pepsin [Електронний ресурс] / A. Allen, G. Flemström // Am. J. Physiol. Cell. Physiol. – 2005. – Vol. 288. – P. C1-C19. – Режим доступу до журналу: http://ajpcell.physiology.org/cgi/reprint/288/1/C1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Szczepanik M. Melatonin and its influence on immune system [Електронний ресурс] / M. Szczepanik // J Physiol Pharmacol. – 2007. – Vol. 58, Suppl. 6. – P. 115-124. – Режим доступу до журналу: http://www.jpp.krakow.pl/cgi/reprint/fulltext/58/suppl_6/115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Influence of melatonin and its precursor L-tryptophan on Th1 dependent contact hypersensitivity [Електронний ресурс] / M. Majewska, K. Zajac, M. Zemelka, M. Szczepanik // J Physiol Pharmacol. – 2007. – Vol. 58, Suppl. 6. – P. 125-132. – Режим доступу до журналу: http://www.jpp.krakow.pl/cgi/reprint/fulltext/58/suppl_6/125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Осадчук М. А. Мелатонинпродуцирующие и NO-синтазоположительные клетки желудка и процессы клеточного обновления при язвенной болезни желудка и двенадцатиперстной кишки / М. А. Осадчук, А. Ю. Кулиджанов // Клиническая медицина. – 2005. - №9. – С. 34-37.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Protective effect of antioxidants on DNA damage induced by MNNG in Helicobacter pylori infected gastric mucosa cells [Електронний ресурс] / M. Eniewska-Jarosinska, J. Basiac, G. Klupinska [et al.] // Abstract R.0201.: Canada, Oakville, Pulsus group Inc, 2005. – 1 електрон. опт. диск (CD-ROM): кольор., 12см. – (World Congress of Gastroenterology 2005, Montreal, Canadа, 2005). – Систем. вимоги: Pentium 266; 64 Mb RAM; Windows 98/Me/2000/XP. – Загол. з титул.екрану.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Konturek S. J. Role of COX-2 and PGE2 system in gastric ulcer healing effects of proton pump inhibitors, histamine-H2 antagonists and melatonin [Електронний ресурс] / S. J. Konturek, T. Brzozowski // J Physiol Pharmacol. – 2006. – Vol. 57, Suppl. 2. – P. 67. – Режим доступу до журналу: http://www.jpp.krakow.pl/cgi/reprint/abstract/57/suppl_2/67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Melatonin prevents ethanol-induced gastric mucosal damage possibly due to its antioxidant effect / D. Bilici, H. Suleyman, Z. H. Banoglu [et al.] // Digestive Diseases and Sciences. – 2002. – Vol. 47, No. 4. – P.856-861.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Protective effect of famotidine, omeprasole and melatonin against acetylsalicylic acid-indused gastric damage in rats / G. Sener-Muratoglu, K. Paskaloglu, S. Arbak [et al.] // Digestive Diseases and Sciences. – 2001. – Vol. 46, No. 2. – P. 318-330.</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Konturek S. J. Melatonin in gastroprotection against stress-induced acute gastric lesions and in healing of chronic gastric ulcers [Електронний ресурс] / S. J. Konturek, P. C. Konturek, T. Brzozowski // J Physiol Pharmacol. – 2006. - – Vol. 57, Suppl. 5. – P. 51-66. – Режим доступу до журналу: http://www.jpp.krakow.pl/cgi/reprint/fulltext/54/suppl_5/51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Role of circadian rhythm and endogenous melatonin in pathogenesis of acute gastric bleeding erosions induced by stress [Електронний ресурс] / T. Brzozowski, K. Zwirska-Korczala, P. C. Konturek [et al.] // J Physiol Pharmacol. – 2007. – Vol. 58, Suppl. 6. – P. 53-64. – Режим доступу до журналу: http://www.jpp.krakow.pl/cgi/reprint/fulltext/58/suppl_6/53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Konturek S. J. Brain-gut axis in gastrointestinal system: Introductory remarks [Електронний ресурс] / S. J. Konturek, W. W. Pawlik, E. Z. Dajani // J Physiol Pharmacol. – 2003. – Vol. 54, Suppl. 4. – P. 3-7. – Режим доступу до журналу: http://www.jpp.krakow.pl/cgi/reprint/abstract/54/suppl_4/3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Дорогой А. П. Мелатонін і його біологічне та клінічне значення у клінічній практиці / А. П. Дорогой // Український медичний часопис. – 2005. - №2-3. – С. 84-88.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Role of melatonin in upper gastrointestinal tract [Електронний ресурс] / S. J. Konturek, P. C. Konturek, T. Brzozowski, G. A. Bubenic // J Physiol Pharmacol. – 2007. – Vol. 58, Suppl. 6. – P. 23-52. – Режим доступу до журналу: http://www.jpp.krakow.pl/cgi/reprint/fulltext/58/suppl_6/23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Голубев А. Г. Биохимия продления жизни / А. Г. Голубев // Успехи геронтол. – 2003. – №12. – С. 57-76.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Мелатонин: язвенная болезнь и сезоны / Ф. И. Комаров, С. И. Рапопорт, Н. К. Малиновская [и др.] // Клиническая медицина. – 2003. - №9. – С. 17-21.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iCs/>
                <w:sz w:val="28"/>
                <w:szCs w:val="28"/>
                <w:lang w:val="uk-UA"/>
              </w:rPr>
              <w:t xml:space="preserve">Кравцова Т. Ю. </w:t>
            </w:r>
            <w:r>
              <w:rPr>
                <w:bCs/>
                <w:sz w:val="28"/>
                <w:szCs w:val="28"/>
                <w:lang w:val="uk-UA"/>
              </w:rPr>
              <w:t xml:space="preserve">Механизмы дизрегуляции при обострении язвенной болезни двенадцатиперстной кишки / </w:t>
            </w:r>
            <w:r>
              <w:rPr>
                <w:iCs/>
                <w:sz w:val="28"/>
                <w:szCs w:val="28"/>
                <w:lang w:val="uk-UA"/>
              </w:rPr>
              <w:t xml:space="preserve">Т. Ю. Кравцова </w:t>
            </w:r>
            <w:r>
              <w:rPr>
                <w:bCs/>
                <w:sz w:val="28"/>
                <w:szCs w:val="28"/>
                <w:lang w:val="uk-UA"/>
              </w:rPr>
              <w:t xml:space="preserve">// </w:t>
            </w:r>
            <w:r>
              <w:rPr>
                <w:sz w:val="28"/>
                <w:szCs w:val="28"/>
                <w:lang w:val="uk-UA"/>
              </w:rPr>
              <w:t>Российский гастроэнтерологический журнал. – 2000. – № 1. – С. 32-37.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Melatonin production in patients with duodenal ulcer </w:t>
            </w:r>
            <w:r>
              <w:rPr>
                <w:sz w:val="28"/>
                <w:szCs w:val="28"/>
                <w:lang w:val="uk-UA"/>
              </w:rPr>
              <w:t xml:space="preserve">[Електронний ресурс] / N. K. Malinovskaya, F. I. Komarov, S. I. Rapoport [et al.] // Neuro Endocrinol. – 2001. – Vol. 22, № 2. </w:t>
            </w:r>
            <w:r>
              <w:rPr>
                <w:bCs/>
                <w:sz w:val="28"/>
                <w:szCs w:val="28"/>
                <w:lang w:val="uk-UA"/>
              </w:rPr>
              <w:t xml:space="preserve">– P. </w:t>
            </w:r>
            <w:r>
              <w:rPr>
                <w:sz w:val="28"/>
                <w:szCs w:val="28"/>
                <w:lang w:val="uk-UA"/>
              </w:rPr>
              <w:t>109-117. – Режим доступу до журналу: http://www.nel.edu/cgi/reprint/22/2/109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Опарин А. А. Психосоматические расстройства как маркеры определения прогноза и тяжести течения язвы двенадцатиперстной кишки у студентов / А. А. Опарин // Сучасна гастроентерологія. – 2005. - №1. – С. 16-18.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Черкашина Е. А. Терапевтическая эффективность мелатонина при язвенной болезни / Е. А. Черкашина, В. Г. Юр, В. Н. Мельникова // Тезисы VI съезда Научного общества гастроэнтерологов России. 1-3 февраля 2006 г. – М.: Анахарсис, 2006. – С. 71-72.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Бурчинський С. Г. Агомелатин – антидепресант нової генерації: клінічна ефективність та переваги / С. Г. Бурчинський // Український вісник психоневрології. – 2006. – Т. 14, Вип. 4 (49). – С. 81-84.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Актуальні аспекти застосування мелатоніну при порушеннях сну (Статтю підготовано за сприяння ЗАТ "Київський вітамінний завод") // Ліки України. – 2005. - №2. – С. 60-62.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Коркушко О. В. Шишковидная железа: физиологическая роль в организме, функциональная недостаточность в пожилом возрасте, возможные пути коррекции / О. В. Коркушко, В. Б. Шатило // Медичний Всесвіт. – 2003. – №2. – Режим доступу: http://www.socion.net.ua/med_journal/articles/gerontology/korkushko.htm.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Karasek M. Melatonin in humans [Електронний ресурс] / M. Karasek, K. Winczyk // J Physiol Pharmacol. – 2006. – Vol. 57, Suppl. 5. – P. 19-39. – Режим доступу до журналу: http://www.jpp.krakow.pl/cgi/reprint/fulltext/57/suppl_5/19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Львова Л. В. Жить по природе: об эпифизе [Електронний ресурс] / Л. В. Львова // Провизор. – 2005. - № 15. – Режим доступу: http://www.provisor.com.ua/archive/2005/N15/art_35.htm.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Karasek M. Does melatonin play a role in aging process? [Електронний ресурс] / M. Karasek // J Physiol Pharmacol. – 2007. – Vol. 58, Suppl. 6. – P. 105-113. – Режим доступу до журналу: http://www.jpp.krakow.pl/cgi/reprint/fulltext/58/suppl_6/105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Acupuncture Increases Nocturnal Melatonin Secretion and Reduces Insomnia and Anxiety: A Preliminary Report [Електронний ресурс] / D. W. Spence, L. Kayumov, A. Chen [et al.] // J. Neuropsychiatry Clin. Neurosci. – 2004. – Vol. 16. – P. 19-28. – Режим доступу до журналу: http://neuro.psychiatryonline.org/cgi/reprint/16/1/19</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Формула здорового сну (За матеріалами, наданими ЗАТ "Київський вітамінний завод") // Аптека. – 2005. - №41. – С. 88.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Коркушко О.В. Влияние экзогенного мелатонина на суточный ритм мелатонинобразующей функции эпифиза у людей пожилого возраста / О. В. Коркушко, В. Б. Шатило, А. В. Писарук [и др.] // Журнал АМН України. – 2004. - №2. – С. 393-401.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Коляденко С. В. Вміст мелатоніну, ІЛ-8 та ІЛ-10 в плазмі крові хворих на фіброміалгію: зв’язок з клінічними проявами та ефективністю лікування: автореф. дис. на здобуття наук. ступеня канд. мед. наук: спец. 14.01.12 „Внутрішні хвороби” / С. В. Коляденко. – Донецьк, 2007. – 20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Behavioral and Neuroendocrine Characteristics of the Night-Eating Syndrome [Електронний ресурс] / G. S. Birketvedt, J. Florholmen, Sundsfjord J. [et al.] // JAMA. – 1999. – Vol. 282. – P. 657-663. – Режим доступу до журналу: http://jama.ama-assn.org/cgi/reprint/282/16/657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Birketvedt G. S. Hypothalamic-pituitary-adrenal axis in the night eating syndrome [Електронний ресурс] / G. S. Birketvedt, J. Sundsfjord, J. R. Florholmen // Am J Physiol Endocrinol Metab. – 2002. – Vol. 282, No.2. – P. E366-E369. – Режим доступу до журналу: http://adjpendo.physiology.org/cgi/reprint/282/2/E366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Blüher S. The Role of Leptin in Regulating Neuroendocrine Function in Humans [Електронний ресурс] / S. Blüher, C. S. Mantzoros // J. Nutr. – 2004. – Vol. 134. – P. 2469S-2474S. – Режим доступу до журналу: http://jn.nutrition.org/cgi/reprint/134/2469S</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Daily Melatonin Administration to Middle-Aged Male Rats Suppresses Body Weight, Intraabdominal Adiposity, and Plasma Leptin and Insulin Independent of Food Intake and Total Body Fat [Електронний ресурс] / T. Wolden-Hanson, D. R. Mitton, R .L. McCants [et al.] // Endocrinology. – 2000. – Vol. 141, No. 2. – P. 487-497. – Режим доступу до журналу: http://endo.endojournals.org/cgi/reprint/141/2/487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Melatonin Reduces Body Weight Gain in Sprague Dawley Rats with Diet-Induced Obesity [Електронний ресурс] / B. Prunet-Marcassus, M. Desbazeille, A. Bros [et al.] // Endocrinology. – 2003. – Vol. 144, No. 12. – P. 5347-5352. – Режим доступу до журналу: http://endo.endojournals.org/cgi/reprint/144/12/5347</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Melatonin enhances leptin expression by rat adipocytes in the presence of insulin </w:t>
            </w:r>
            <w:r>
              <w:rPr>
                <w:sz w:val="28"/>
                <w:szCs w:val="28"/>
                <w:lang w:val="uk-UA"/>
              </w:rPr>
              <w:t>[Електронний ресурс] /</w:t>
            </w:r>
            <w:r>
              <w:rPr>
                <w:bCs/>
                <w:sz w:val="28"/>
                <w:szCs w:val="28"/>
                <w:lang w:val="uk-UA"/>
              </w:rPr>
              <w:t xml:space="preserve"> M. I. C.</w:t>
            </w:r>
            <w:r>
              <w:rPr>
                <w:sz w:val="28"/>
                <w:szCs w:val="28"/>
                <w:lang w:val="uk-UA"/>
              </w:rPr>
              <w:t xml:space="preserve"> </w:t>
            </w:r>
            <w:r>
              <w:rPr>
                <w:bCs/>
                <w:sz w:val="28"/>
                <w:szCs w:val="28"/>
                <w:lang w:val="uk-UA"/>
              </w:rPr>
              <w:t xml:space="preserve">Alonso-Vale, S. Andreotti, S. B. Peres [et al.] // </w:t>
            </w:r>
            <w:r>
              <w:rPr>
                <w:bCs/>
                <w:iCs/>
                <w:sz w:val="28"/>
                <w:szCs w:val="28"/>
                <w:lang w:val="uk-UA"/>
              </w:rPr>
              <w:t>Am. J. Physiol. Endocrinol. Metab.</w:t>
            </w:r>
            <w:r>
              <w:rPr>
                <w:bCs/>
                <w:sz w:val="28"/>
                <w:szCs w:val="28"/>
                <w:lang w:val="uk-UA"/>
              </w:rPr>
              <w:t xml:space="preserve"> </w:t>
            </w:r>
            <w:r>
              <w:rPr>
                <w:sz w:val="28"/>
                <w:szCs w:val="28"/>
                <w:lang w:val="uk-UA"/>
              </w:rPr>
              <w:t xml:space="preserve">– 2005. – Vol. 288. </w:t>
            </w:r>
            <w:r>
              <w:rPr>
                <w:bCs/>
                <w:sz w:val="28"/>
                <w:szCs w:val="28"/>
                <w:lang w:val="uk-UA"/>
              </w:rPr>
              <w:t>– P. E805-E812</w:t>
            </w:r>
            <w:r>
              <w:rPr>
                <w:sz w:val="28"/>
                <w:szCs w:val="28"/>
                <w:lang w:val="uk-UA"/>
              </w:rPr>
              <w:t>. – Режим доступу до журналу: http://adjpendo.physiology.org/cgi/reprint/288/E805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Bloomgarden Z. T. Insulin resistance concepts / Z. T. Bloomgarden // Diabetes Care. – 2007. – Vol. 30. No. 5. – Р. 1320-1326.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Simonneaux V. Generation of the Melatonin Endocrine Message in Mammals: A Review of the Complex Regulation of Melatonin Synthesis by Norepinephrine, Peptides, and Other Pineal Transmitters [Електронний ресурс] / V. Simonneaux, C. Ribelayga // Pharmacol Rev. – 2003. – Vol. 55. – P. 325-395. – Режим доступу до журналу: http://www.pharmrev.org/cgi/reprint/55/325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Pinealectomy increases and exogenous melatonin decreases leptin production in rat anterior pituitary cells: an immunohistochemical study [Електронний ресурс] / I. Kus, M. Sarsilmaz, N. Colakoglu [et al.] // Physiological Research. </w:t>
            </w:r>
            <w:r>
              <w:rPr>
                <w:iCs/>
                <w:sz w:val="28"/>
                <w:szCs w:val="28"/>
                <w:lang w:val="uk-UA"/>
              </w:rPr>
              <w:t>– 2004.</w:t>
            </w:r>
            <w:r>
              <w:rPr>
                <w:sz w:val="28"/>
                <w:szCs w:val="28"/>
                <w:lang w:val="uk-UA"/>
              </w:rPr>
              <w:t xml:space="preserve"> – Vol.</w:t>
            </w:r>
            <w:r>
              <w:rPr>
                <w:bCs/>
                <w:sz w:val="28"/>
                <w:szCs w:val="28"/>
                <w:lang w:val="uk-UA"/>
              </w:rPr>
              <w:t xml:space="preserve"> </w:t>
            </w:r>
            <w:r>
              <w:rPr>
                <w:sz w:val="28"/>
                <w:szCs w:val="28"/>
                <w:lang w:val="uk-UA"/>
              </w:rPr>
              <w:t>53. – P. 403-408. – Режим доступу до журналу: http://www.biomed.cas.cz/physiolres/cgi/reprint/53/408</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Biological, Physiological, Pathophysiological, and Pharmacological Aspects of Ghrelin [Електронний ресурс] / A. J. Van der Lely, M. Tschöp, M. L. Heiman, E. Ghigo // Endocrine Reviews. – 2004. – Vol. 25, No.3. – P. 426-457. – Режим доступу до журналу: http://edrv.endojournals.org/cgi/reprint/25/3/426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Nieminen P. Seasonal Weight Regulation of the Raccoon Dog (Nyctereutes procyonoides): Interactions between Melatonin, Leptin, Ghrelin, and Growth Hormone [Електронний ресурс] / P. Nieminen // Journal of Biological Rhythms. – 2002. – Vol. 17, No.2. – P. 155-163. – Режим доступу до журналу: http://jbr.sagepub.com/cgi/reprint/17/2/155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Circannual leptin and ghrelin levels of the blue fox (Alopex lagopus) in reference to seasonal rhythms of body mass, adiposity, and food intake [Електронний ресурс] / A. M. Mustonen, T. Pyykönen, J. Asikainen [et al.] // Journal of Experimental Zoology Part A: Comparative Experimental Biology. – 2005. – Vol. 303A, No.1. – P. 26-36. – Режим доступу до журналу: http://www3.interscience.wiley.com/cgi-bin/fulltext/109859272/PDFSTART</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Mustonen A. M. Preliminary evidence that pharmacologic melatonin treatment decreases rat ghrelin levels [Електронний ресурс] / A. M. Mustonen, P. Nieminen, H. Hyvarinen // Endocrine. – 2001. – Vol. 16, No.1. – P. 43-46. – Режим доступу до журналу: http://www.ncbi.nlm.nih.gov/entrez/utils/fref.fcgi?itool=Abstract-def&amp;PrId=3129&amp;uid=11822826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Djeridane Y. Lack of effect of ghrelin treatment on melatonin production in rat pineal and Harderian glands [Електронний ресурс] / Y. Djeridane, Y. Touitou // Life Sci. – 2005. – Vol. 76, No.20. – P. 2393-2401. – Режим доступу до журналу: http://www.ncbi.nlm.nih.gov/entrez/utils/fref.fcgi?itool=Abstract-def&amp;PrId=3048&amp;uid=15748632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Гмошинская А. А. Связь уровня лептина крови и ряда других клинических и гормональных показателей с особенностями пищевого поведения у мужчин / А. А. Гмошинская, Г. Р. Казека, Т. Д. Бабина // Бюллетень СО РАМН. – 2003. – № 1. – С. 40-44.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Neuroendocrine profiles associated with energy intake, sleep, and stress in the night eating syndrome [Електронний ресурс] / K. C. Allison, R. S. Ahima, J. P. O’Reardon [et al.] // Journal of clinical endocrinology &amp; metabolism. – 2005. – Vol. 90, No. 11. – P. 6214-6217. – Режим доступу до журналу: http://endo.endojournals.org/cgi/reprint/90/11/6214</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Elevated plasma ghrelin levels in night eating syndrome [Електронний ресурс] / M. C. Rosenhagen, M. Uhr, P. Schüssler, A. Steiger // Am J Psychiatry. – 2005. – Vol. 162. – P. 813. – Режим доступу до журналу: http://www.thieme-connect.com/ejournals/html/pharmaco/doi/10.1055/s-2005-918820</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Лечение мелатонином поможет снизить вес. – 2007. – Режим доступу: http://www.medlinks.ru/article.php?sid=5409.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Кветная Т.В. Мелатонин – нейроиммуноэндокринный меркер возрастной патологии / Кветная Т.В., Князькин И.В., Кветной И.М. – СПб.: Издательство ДЕАН, 2005. – 144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Urinary 6-sulfatoxymelatonin excretion in humans during domestic exposure to 50 hertz electromagnetic fields [Електронний ресурс] / P. Cocco, M. E. Cocco, L. Paghi [et al.] // Neuroendocrinology Letters. – 2005. – Vol. 26, Nо. 2. – P. 136-142. – Режим доступу до журналу: http://www.nel.edu/cgi/reprint/26/2/136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Содержание инсулина, лептина и грелина при нарушениях пищевого поведения у женщин молодого возраста, страдающих ожирением / Н. А. Крапивина, В. И. Костин, Н. В. Артымук, О. А. Тачкова. – 2006. – Режим доступу: http://www.gkb3.ru/section.php?id=10.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Влияние избыточной массы тела на уровни лептина и инсулина крови у молодых женщин с ожирением / Н. А. Крапивина, Н. В. Артымук, О. А. Тачкова, В. И. Костин. – 2006. – Режим доступу: http://www.gkb3.ru/section.php?id=15.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Knopp R. H. Oxidized LDL and abdominal obesity: a key to understanding the metabolic syndrome [Електронний ресурс] / R. H. Knopp, P. Paramsothy // American Journal of Clinical Nutrition. – 2006. – Vol. 83, No. 1. – P. 1-2. – Режим доступу до журналу: http://www.ajcn.org/cgi/reprint/83/1/1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Lipoprotein Oxidation and Plasma Vitamin E in Nondiabetic Normotensive Obese Patients [Електронний ресурс] / I. Myara, C. Alamowitch, O. Michel [et al.] // Obesity Research. – 2003. – Vol. 11. – P. 112-120. – Режим доступу до журналу: http://www.obesityresearch.org/cgi/reprint/11/112</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bCs/>
                <w:sz w:val="28"/>
                <w:szCs w:val="28"/>
                <w:lang w:val="uk-UA"/>
              </w:rPr>
            </w:pPr>
            <w:r>
              <w:rPr>
                <w:bCs/>
                <w:sz w:val="28"/>
                <w:szCs w:val="28"/>
                <w:lang w:val="uk-UA"/>
              </w:rPr>
              <w:t xml:space="preserve">Betowski J. Stimulatory Effect of Leptin on Nitric Oxide Production Is Impaired in Dietary-Induced Obesity </w:t>
            </w:r>
            <w:r>
              <w:rPr>
                <w:sz w:val="28"/>
                <w:szCs w:val="28"/>
                <w:lang w:val="uk-UA"/>
              </w:rPr>
              <w:t>[Електронний ресурс] /</w:t>
            </w:r>
            <w:r>
              <w:rPr>
                <w:bCs/>
                <w:sz w:val="28"/>
                <w:szCs w:val="28"/>
                <w:lang w:val="uk-UA"/>
              </w:rPr>
              <w:t xml:space="preserve"> J.</w:t>
            </w:r>
            <w:r>
              <w:rPr>
                <w:sz w:val="28"/>
                <w:szCs w:val="28"/>
                <w:lang w:val="uk-UA"/>
              </w:rPr>
              <w:t xml:space="preserve"> </w:t>
            </w:r>
            <w:r>
              <w:rPr>
                <w:bCs/>
                <w:sz w:val="28"/>
                <w:szCs w:val="28"/>
                <w:lang w:val="uk-UA"/>
              </w:rPr>
              <w:t>Betowski, G. Wójcicka, A. Jamroz // Obesity</w:t>
            </w:r>
            <w:r>
              <w:rPr>
                <w:sz w:val="28"/>
                <w:szCs w:val="28"/>
                <w:lang w:val="uk-UA"/>
              </w:rPr>
              <w:t xml:space="preserve"> Research. – 2003. – Vol. 11. </w:t>
            </w:r>
            <w:r>
              <w:rPr>
                <w:bCs/>
                <w:sz w:val="28"/>
                <w:szCs w:val="28"/>
                <w:lang w:val="uk-UA"/>
              </w:rPr>
              <w:t xml:space="preserve">– P. </w:t>
            </w:r>
            <w:r>
              <w:rPr>
                <w:sz w:val="28"/>
                <w:szCs w:val="28"/>
                <w:lang w:val="uk-UA"/>
              </w:rPr>
              <w:t>1571-1580. – Режим доступу до журналу: http://www.obesityresearch.org/cgi/reprint/11/1571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Toda N. Gastrointestinal Function Regulation by Nitrergic Efferent Nerves </w:t>
            </w:r>
            <w:r>
              <w:rPr>
                <w:sz w:val="28"/>
                <w:szCs w:val="28"/>
                <w:lang w:val="uk-UA"/>
              </w:rPr>
              <w:t>[Електронний ресурс] /</w:t>
            </w:r>
            <w:r>
              <w:rPr>
                <w:bCs/>
                <w:sz w:val="28"/>
                <w:szCs w:val="28"/>
                <w:lang w:val="uk-UA"/>
              </w:rPr>
              <w:t xml:space="preserve"> N.</w:t>
            </w:r>
            <w:r>
              <w:rPr>
                <w:sz w:val="28"/>
                <w:szCs w:val="28"/>
                <w:lang w:val="uk-UA"/>
              </w:rPr>
              <w:t xml:space="preserve"> </w:t>
            </w:r>
            <w:r>
              <w:rPr>
                <w:bCs/>
                <w:sz w:val="28"/>
                <w:szCs w:val="28"/>
                <w:lang w:val="uk-UA"/>
              </w:rPr>
              <w:t xml:space="preserve">Toda, A. G. Herman // </w:t>
            </w:r>
            <w:r>
              <w:rPr>
                <w:iCs/>
                <w:sz w:val="28"/>
                <w:szCs w:val="28"/>
                <w:lang w:val="uk-UA"/>
              </w:rPr>
              <w:t>Pharmacol. Rev. – 2005.</w:t>
            </w:r>
            <w:r>
              <w:rPr>
                <w:sz w:val="28"/>
                <w:szCs w:val="28"/>
                <w:lang w:val="uk-UA"/>
              </w:rPr>
              <w:t xml:space="preserve"> – Vol.</w:t>
            </w:r>
            <w:r>
              <w:rPr>
                <w:bCs/>
                <w:sz w:val="28"/>
                <w:szCs w:val="28"/>
                <w:lang w:val="uk-UA"/>
              </w:rPr>
              <w:t xml:space="preserve"> </w:t>
            </w:r>
            <w:r>
              <w:rPr>
                <w:sz w:val="28"/>
                <w:szCs w:val="28"/>
                <w:lang w:val="uk-UA"/>
              </w:rPr>
              <w:t>57. – P. 315-338. – Режим доступу до журналу: http://www.pharmrev.org/cgi/reprint/57/3/315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Circulating oxidized LDL is associated with increased waist circumference independent of body mass index in men and women </w:t>
            </w:r>
            <w:r>
              <w:rPr>
                <w:sz w:val="28"/>
                <w:szCs w:val="28"/>
                <w:lang w:val="uk-UA"/>
              </w:rPr>
              <w:t>[Електронний ресурс] /</w:t>
            </w:r>
            <w:r>
              <w:rPr>
                <w:bCs/>
                <w:sz w:val="28"/>
                <w:szCs w:val="28"/>
                <w:lang w:val="uk-UA"/>
              </w:rPr>
              <w:t xml:space="preserve"> T.</w:t>
            </w:r>
            <w:r>
              <w:rPr>
                <w:sz w:val="28"/>
                <w:szCs w:val="28"/>
                <w:lang w:val="uk-UA"/>
              </w:rPr>
              <w:t xml:space="preserve"> </w:t>
            </w:r>
            <w:r>
              <w:rPr>
                <w:bCs/>
                <w:sz w:val="28"/>
                <w:szCs w:val="28"/>
                <w:lang w:val="uk-UA"/>
              </w:rPr>
              <w:t xml:space="preserve">Weinbrenner, H. Schröder, V. Escurriol [et al.] // </w:t>
            </w:r>
            <w:r>
              <w:rPr>
                <w:sz w:val="28"/>
                <w:szCs w:val="28"/>
                <w:lang w:val="uk-UA"/>
              </w:rPr>
              <w:t xml:space="preserve">American Journal of Clinical Nutrition. – 2006. – Vol. 83, No. 1. </w:t>
            </w:r>
            <w:r>
              <w:rPr>
                <w:bCs/>
                <w:sz w:val="28"/>
                <w:szCs w:val="28"/>
                <w:lang w:val="uk-UA"/>
              </w:rPr>
              <w:t xml:space="preserve">– P. </w:t>
            </w:r>
            <w:r>
              <w:rPr>
                <w:sz w:val="28"/>
                <w:szCs w:val="28"/>
                <w:lang w:val="uk-UA"/>
              </w:rPr>
              <w:t>30-35. – Режим доступу до журналу: http://www.ajcn.org/cgi/reprint/83/1/30</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Tsuda K.</w:t>
            </w:r>
            <w:r>
              <w:rPr>
                <w:sz w:val="28"/>
                <w:szCs w:val="28"/>
                <w:lang w:val="uk-UA"/>
              </w:rPr>
              <w:t xml:space="preserve"> </w:t>
            </w:r>
            <w:r>
              <w:rPr>
                <w:bCs/>
                <w:sz w:val="28"/>
                <w:szCs w:val="28"/>
                <w:lang w:val="uk-UA"/>
              </w:rPr>
              <w:t xml:space="preserve">Leptin and Nitric Oxide Production in Normotensive and Hypertensive Men </w:t>
            </w:r>
            <w:r>
              <w:rPr>
                <w:sz w:val="28"/>
                <w:szCs w:val="28"/>
                <w:lang w:val="uk-UA"/>
              </w:rPr>
              <w:t>[Електронний ресурс] /</w:t>
            </w:r>
            <w:r>
              <w:rPr>
                <w:bCs/>
                <w:sz w:val="28"/>
                <w:szCs w:val="28"/>
                <w:lang w:val="uk-UA"/>
              </w:rPr>
              <w:t xml:space="preserve"> K.</w:t>
            </w:r>
            <w:r>
              <w:rPr>
                <w:sz w:val="28"/>
                <w:szCs w:val="28"/>
                <w:lang w:val="uk-UA"/>
              </w:rPr>
              <w:t xml:space="preserve"> </w:t>
            </w:r>
            <w:r>
              <w:rPr>
                <w:bCs/>
                <w:sz w:val="28"/>
                <w:szCs w:val="28"/>
                <w:lang w:val="uk-UA"/>
              </w:rPr>
              <w:t>Tsuda, I.</w:t>
            </w:r>
            <w:r>
              <w:rPr>
                <w:sz w:val="28"/>
                <w:szCs w:val="28"/>
                <w:lang w:val="uk-UA"/>
              </w:rPr>
              <w:t xml:space="preserve"> </w:t>
            </w:r>
            <w:r>
              <w:rPr>
                <w:bCs/>
                <w:sz w:val="28"/>
                <w:szCs w:val="28"/>
                <w:lang w:val="uk-UA"/>
              </w:rPr>
              <w:t>Nishio // Obesity</w:t>
            </w:r>
            <w:r>
              <w:rPr>
                <w:sz w:val="28"/>
                <w:szCs w:val="28"/>
                <w:lang w:val="uk-UA"/>
              </w:rPr>
              <w:t xml:space="preserve"> Research. – 2004. – Vol. 12. </w:t>
            </w:r>
            <w:r>
              <w:rPr>
                <w:bCs/>
                <w:sz w:val="28"/>
                <w:szCs w:val="28"/>
                <w:lang w:val="uk-UA"/>
              </w:rPr>
              <w:t xml:space="preserve">– P. </w:t>
            </w:r>
            <w:r>
              <w:rPr>
                <w:sz w:val="28"/>
                <w:szCs w:val="28"/>
                <w:lang w:val="uk-UA"/>
              </w:rPr>
              <w:t>1223-1237. – Режим доступу до журналу: http://www.obesityresearch.org/cgi/reprint/12/1223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Sequence variants in the melatonin-related receptor gene (GPR50) associate with circulating triglyceride and HDL levels </w:t>
            </w:r>
            <w:r>
              <w:rPr>
                <w:sz w:val="28"/>
                <w:szCs w:val="28"/>
                <w:lang w:val="uk-UA"/>
              </w:rPr>
              <w:t>[Електронний ресурс] /</w:t>
            </w:r>
            <w:r>
              <w:rPr>
                <w:bCs/>
                <w:sz w:val="28"/>
                <w:szCs w:val="28"/>
                <w:lang w:val="uk-UA"/>
              </w:rPr>
              <w:t xml:space="preserve"> S.</w:t>
            </w:r>
            <w:r>
              <w:rPr>
                <w:sz w:val="28"/>
                <w:szCs w:val="28"/>
                <w:lang w:val="uk-UA"/>
              </w:rPr>
              <w:t xml:space="preserve"> </w:t>
            </w:r>
            <w:r>
              <w:rPr>
                <w:bCs/>
                <w:sz w:val="28"/>
                <w:szCs w:val="28"/>
                <w:lang w:val="uk-UA"/>
              </w:rPr>
              <w:t xml:space="preserve">Bhattacharryya, S. J. Luan, B. Challis [et al.] // Journal of Lipid Research. – 2006. – Vol. 47. – P. 761-766. </w:t>
            </w:r>
            <w:r>
              <w:rPr>
                <w:sz w:val="28"/>
                <w:szCs w:val="28"/>
                <w:lang w:val="uk-UA"/>
              </w:rPr>
              <w:t xml:space="preserve">– Режим доступу до журналу: </w:t>
            </w:r>
            <w:r>
              <w:rPr>
                <w:bCs/>
                <w:sz w:val="28"/>
                <w:szCs w:val="28"/>
                <w:lang w:val="uk-UA"/>
              </w:rPr>
              <w:t>http://www.jlr.org/cgi/reprint/47/4/761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Nocturnal Secretion of Melatonin in Patients with Duodenal Ulcer Disease and Ulcer-Like Dyspepsia [Електронний ресурс] / G. Klupińska, A. Harasiuk, C. Chojnacki [et al.] // Adv Clin Exp Med. – 2006. – Vol. 15, No. 5. – P. 811-815. – Режим доступу до журналу: http://journals.indexcopernicus.com/462473.php</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Nocturnal Secretion of Melatonin in Patients with Upper Digestive Tract Disorders [Електронний ресурс] / G. Klupińska, M. Wisniewska-Jarosinska, A. Harasiuk [et al.] // J Physiol Pharmacol. – 2006. – Vol. 57, Suppl. 5. – P. 41-50. – Режим доступу до журналу: http://www.jpp.krakow.pl/cgi/reprint/fulltext/57/suppl_5/41</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Secretion of serotonin and melatonin in patients with functional dyspepsia [Електронний ресурс] / A. Harasiuk, G. Klupińska, E. Walecka-Kapica [et al.] // Pol Merkur Lekarski. – 2007. – Vol. 131, No. 22. – Р. 336-340. – Режим доступу до журналу: http://www.ncbi.nlm.nih.gov/entrez/utils/fref.fcgi?PrId=3159&amp;itool=AbstractPlus-def&amp;uid=17426465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The assessment of selected personality traits, coping and melatonin nocturnal secretion in patients with functional dyspepsia [Електронний ресурс] / J. Grzyb, M. Wrzesińiska, A. Harasiuk [et al.] // Psychiatr Pol. – 2007. – Vol. 41, No. 3. – Р. 401-410. – Режим доступу до журналу: http://www.ncbi.nlm.nih.gov/entrez/utils/fref.fcgi?PrId=3159&amp;itool=AbstractPlus-def&amp;uid=17900055.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Elsenbruch S. Melatonin: a novel treatment for IBS? / S. Elsenbruch // Gut. – 2005. – Vol. 54. – P. 1353-1354.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Синдром раздраженной кишки. Клинико–морфологические аспекты при лечении Мелаксеном / Л. А. Вознесенская, Ф. И. Комаров, Н. К. Малиновская [и др.] // Русский медицинский журнал: Болезни органов пищеварения. – 2006. – Том 8. – № 2. – С. 97-103.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Садриева Л. И. Вегетативная регуляция деятельности сердца у пациентов, оперированных по поводу нарушений сердечного ритма: автореф. дис. на соискание науч. степени канд. мед. наук: спец. 14.00.06 „Кардиология” / Л. И. Садриева. – Казань, 2003. – 19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Психологическая диагностика лиц, отбывающих наказание в местах лишения свободы [Методические рекомендации / М. Е. Сандомирский, Р. Х. Гизатуллин, Г. А. Аминев, Д. А. Еникеев / Министерство внутренних дел РБ. Главное управление исполнения наказаний Министерства юстиции РФ по РБ]. – Уфа – 2000. – 25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Сандомирский М. Е. Состояние психической адаптации в условиях хронического психоэмоционального стресса в связи с личностно-типологическими характеристиками: автореф. дис. на соискание науч. степени канд. мед. наук: спец. 14.00.18 „Психиатрия” / М. Е. Сандомирский. – Оренбург, 2001. – 13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Вейн А.М. Заболевания вегетативной нервной системы / А. М. Вейн. – М.: Медицина, 1991. – 655с.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Компендиум 2007 — лекарственные препараты / Под ред. В.Н. Коваленко, А.П. Викторова. — К.: МОРИОН, 2007. — Т.1. – 2270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iCs/>
                <w:sz w:val="28"/>
                <w:szCs w:val="28"/>
                <w:lang w:val="uk-UA"/>
              </w:rPr>
            </w:pPr>
            <w:r>
              <w:rPr>
                <w:sz w:val="28"/>
                <w:szCs w:val="28"/>
                <w:lang w:val="en-US"/>
              </w:rPr>
              <w:t>Melatonin</w:t>
            </w:r>
            <w:r>
              <w:rPr>
                <w:sz w:val="28"/>
                <w:szCs w:val="28"/>
                <w:lang w:val="uk-UA"/>
              </w:rPr>
              <w:t xml:space="preserve"> / Natural Standard Research Collaboration / </w:t>
            </w:r>
            <w:r>
              <w:rPr>
                <w:sz w:val="28"/>
                <w:szCs w:val="28"/>
                <w:lang w:val="en-US"/>
              </w:rPr>
              <w:t>Natural</w:t>
            </w:r>
            <w:r>
              <w:rPr>
                <w:sz w:val="28"/>
                <w:szCs w:val="28"/>
                <w:lang w:val="uk-UA"/>
              </w:rPr>
              <w:t xml:space="preserve"> </w:t>
            </w:r>
            <w:r>
              <w:rPr>
                <w:sz w:val="28"/>
                <w:szCs w:val="28"/>
                <w:lang w:val="en-US"/>
              </w:rPr>
              <w:t>Standard</w:t>
            </w:r>
            <w:r>
              <w:rPr>
                <w:sz w:val="28"/>
                <w:szCs w:val="28"/>
                <w:lang w:val="uk-UA"/>
              </w:rPr>
              <w:t xml:space="preserve">® </w:t>
            </w:r>
            <w:r>
              <w:rPr>
                <w:sz w:val="28"/>
                <w:szCs w:val="28"/>
                <w:lang w:val="en-US"/>
              </w:rPr>
              <w:t>Patient</w:t>
            </w:r>
            <w:r>
              <w:rPr>
                <w:sz w:val="28"/>
                <w:szCs w:val="28"/>
                <w:lang w:val="uk-UA"/>
              </w:rPr>
              <w:t xml:space="preserve"> </w:t>
            </w:r>
            <w:r>
              <w:rPr>
                <w:sz w:val="28"/>
                <w:szCs w:val="28"/>
                <w:lang w:val="en-US"/>
              </w:rPr>
              <w:t>Monograph</w:t>
            </w:r>
            <w:r>
              <w:rPr>
                <w:sz w:val="28"/>
                <w:szCs w:val="28"/>
                <w:lang w:val="uk-UA"/>
              </w:rPr>
              <w:t xml:space="preserve">, </w:t>
            </w:r>
            <w:r>
              <w:rPr>
                <w:sz w:val="28"/>
                <w:szCs w:val="28"/>
                <w:lang w:val="en-US"/>
              </w:rPr>
              <w:t>Copyright</w:t>
            </w:r>
            <w:r>
              <w:rPr>
                <w:sz w:val="28"/>
                <w:szCs w:val="28"/>
                <w:lang w:val="uk-UA"/>
              </w:rPr>
              <w:t xml:space="preserve">©. – 2008. – Режим доступу: </w:t>
            </w:r>
            <w:r>
              <w:rPr>
                <w:sz w:val="28"/>
                <w:szCs w:val="28"/>
                <w:lang w:val="en-US"/>
              </w:rPr>
              <w:t>www</w:t>
            </w:r>
            <w:r>
              <w:rPr>
                <w:sz w:val="28"/>
                <w:szCs w:val="28"/>
                <w:lang w:val="uk-UA"/>
              </w:rPr>
              <w:t>.</w:t>
            </w:r>
            <w:r>
              <w:rPr>
                <w:sz w:val="28"/>
                <w:szCs w:val="28"/>
                <w:lang w:val="en-US"/>
              </w:rPr>
              <w:t>mayoclinic</w:t>
            </w:r>
            <w:r>
              <w:rPr>
                <w:sz w:val="28"/>
                <w:szCs w:val="28"/>
                <w:lang w:val="uk-UA"/>
              </w:rPr>
              <w:t>.</w:t>
            </w:r>
            <w:r>
              <w:rPr>
                <w:sz w:val="28"/>
                <w:szCs w:val="28"/>
                <w:lang w:val="en-US"/>
              </w:rPr>
              <w:t>com</w:t>
            </w:r>
            <w:r>
              <w:rPr>
                <w:sz w:val="28"/>
                <w:szCs w:val="28"/>
                <w:lang w:val="uk-UA"/>
              </w:rPr>
              <w:t>/</w:t>
            </w:r>
            <w:r>
              <w:rPr>
                <w:sz w:val="28"/>
                <w:szCs w:val="28"/>
                <w:lang w:val="en-US"/>
              </w:rPr>
              <w:t>health</w:t>
            </w:r>
            <w:r>
              <w:rPr>
                <w:sz w:val="28"/>
                <w:szCs w:val="28"/>
                <w:lang w:val="uk-UA"/>
              </w:rPr>
              <w:t>/</w:t>
            </w:r>
            <w:r>
              <w:rPr>
                <w:sz w:val="28"/>
                <w:szCs w:val="28"/>
                <w:lang w:val="en-US"/>
              </w:rPr>
              <w:t>melatonin</w:t>
            </w:r>
            <w:r>
              <w:rPr>
                <w:sz w:val="28"/>
                <w:szCs w:val="28"/>
                <w:lang w:val="uk-UA"/>
              </w:rPr>
              <w:t>/</w:t>
            </w:r>
            <w:r>
              <w:rPr>
                <w:sz w:val="28"/>
                <w:szCs w:val="28"/>
                <w:lang w:val="en-US"/>
              </w:rPr>
              <w:t>NS</w:t>
            </w:r>
            <w:r>
              <w:rPr>
                <w:sz w:val="28"/>
                <w:szCs w:val="28"/>
                <w:lang w:val="uk-UA"/>
              </w:rPr>
              <w:t>_</w:t>
            </w:r>
            <w:r>
              <w:rPr>
                <w:sz w:val="28"/>
                <w:szCs w:val="28"/>
                <w:lang w:val="en-US"/>
              </w:rPr>
              <w:t>patient</w:t>
            </w:r>
            <w:r>
              <w:rPr>
                <w:sz w:val="28"/>
                <w:szCs w:val="28"/>
                <w:lang w:val="uk-UA"/>
              </w:rPr>
              <w:t>-</w:t>
            </w:r>
            <w:r>
              <w:rPr>
                <w:sz w:val="28"/>
                <w:szCs w:val="28"/>
                <w:lang w:val="en-US"/>
              </w:rPr>
              <w:t>melatonin</w:t>
            </w:r>
            <w:r>
              <w:rPr>
                <w:sz w:val="28"/>
                <w:szCs w:val="28"/>
                <w:lang w:val="uk-UA"/>
              </w:rPr>
              <w:t>.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iCs/>
                <w:sz w:val="28"/>
                <w:szCs w:val="28"/>
                <w:lang w:val="uk-UA"/>
              </w:rPr>
            </w:pPr>
            <w:r>
              <w:rPr>
                <w:iCs/>
                <w:sz w:val="28"/>
                <w:szCs w:val="28"/>
                <w:lang w:val="en-US"/>
              </w:rPr>
              <w:t>Melatonin</w:t>
            </w:r>
            <w:r>
              <w:rPr>
                <w:iCs/>
                <w:sz w:val="28"/>
                <w:szCs w:val="28"/>
                <w:lang w:val="uk-UA"/>
              </w:rPr>
              <w:t xml:space="preserve"> </w:t>
            </w:r>
            <w:r>
              <w:rPr>
                <w:iCs/>
                <w:sz w:val="28"/>
                <w:szCs w:val="28"/>
                <w:lang w:val="en-US"/>
              </w:rPr>
              <w:t>Side</w:t>
            </w:r>
            <w:r>
              <w:rPr>
                <w:iCs/>
                <w:sz w:val="28"/>
                <w:szCs w:val="28"/>
                <w:lang w:val="uk-UA"/>
              </w:rPr>
              <w:t xml:space="preserve"> </w:t>
            </w:r>
            <w:r>
              <w:rPr>
                <w:iCs/>
                <w:sz w:val="28"/>
                <w:szCs w:val="28"/>
                <w:lang w:val="en-US"/>
              </w:rPr>
              <w:t>Effects</w:t>
            </w:r>
            <w:r>
              <w:rPr>
                <w:iCs/>
                <w:sz w:val="28"/>
                <w:szCs w:val="28"/>
                <w:lang w:val="uk-UA"/>
              </w:rPr>
              <w:t xml:space="preserve">, </w:t>
            </w:r>
            <w:r>
              <w:rPr>
                <w:iCs/>
                <w:sz w:val="28"/>
                <w:szCs w:val="28"/>
                <w:lang w:val="en-US"/>
              </w:rPr>
              <w:t>Interactions</w:t>
            </w:r>
            <w:r>
              <w:rPr>
                <w:iCs/>
                <w:sz w:val="28"/>
                <w:szCs w:val="28"/>
                <w:lang w:val="uk-UA"/>
              </w:rPr>
              <w:t xml:space="preserve"> </w:t>
            </w:r>
            <w:r>
              <w:rPr>
                <w:iCs/>
                <w:sz w:val="28"/>
                <w:szCs w:val="28"/>
                <w:lang w:val="en-US"/>
              </w:rPr>
              <w:t>and</w:t>
            </w:r>
            <w:r>
              <w:rPr>
                <w:iCs/>
                <w:sz w:val="28"/>
                <w:szCs w:val="28"/>
                <w:lang w:val="uk-UA"/>
              </w:rPr>
              <w:t xml:space="preserve"> </w:t>
            </w:r>
            <w:r>
              <w:rPr>
                <w:iCs/>
                <w:sz w:val="28"/>
                <w:szCs w:val="28"/>
                <w:lang w:val="en-US"/>
              </w:rPr>
              <w:t>Warnings</w:t>
            </w:r>
            <w:r>
              <w:rPr>
                <w:iCs/>
                <w:sz w:val="28"/>
                <w:szCs w:val="28"/>
                <w:lang w:val="uk-UA"/>
              </w:rPr>
              <w:t xml:space="preserve">. </w:t>
            </w:r>
            <w:r>
              <w:rPr>
                <w:sz w:val="28"/>
                <w:szCs w:val="28"/>
                <w:lang w:val="uk-UA"/>
              </w:rPr>
              <w:t>–</w:t>
            </w:r>
            <w:r>
              <w:rPr>
                <w:iCs/>
                <w:sz w:val="28"/>
                <w:szCs w:val="28"/>
                <w:lang w:val="uk-UA"/>
              </w:rPr>
              <w:t xml:space="preserve"> </w:t>
            </w:r>
            <w:r>
              <w:rPr>
                <w:iCs/>
                <w:sz w:val="28"/>
                <w:szCs w:val="28"/>
                <w:lang w:val="en-US"/>
              </w:rPr>
              <w:t>January</w:t>
            </w:r>
            <w:r>
              <w:rPr>
                <w:iCs/>
                <w:sz w:val="28"/>
                <w:szCs w:val="28"/>
                <w:lang w:val="uk-UA"/>
              </w:rPr>
              <w:t xml:space="preserve"> 2006.</w:t>
            </w:r>
            <w:r>
              <w:rPr>
                <w:sz w:val="28"/>
                <w:szCs w:val="28"/>
                <w:lang w:val="uk-UA"/>
              </w:rPr>
              <w:t xml:space="preserve"> – Режим доступу: </w:t>
            </w:r>
            <w:r>
              <w:rPr>
                <w:iCs/>
                <w:sz w:val="28"/>
                <w:szCs w:val="28"/>
                <w:lang w:val="en-US"/>
              </w:rPr>
              <w:t>www</w:t>
            </w:r>
            <w:r>
              <w:rPr>
                <w:iCs/>
                <w:sz w:val="28"/>
                <w:szCs w:val="28"/>
                <w:lang w:val="uk-UA"/>
              </w:rPr>
              <w:t>.</w:t>
            </w:r>
            <w:r>
              <w:rPr>
                <w:iCs/>
                <w:sz w:val="28"/>
                <w:szCs w:val="28"/>
                <w:lang w:val="en-US"/>
              </w:rPr>
              <w:t>personalhealthzone</w:t>
            </w:r>
            <w:r>
              <w:rPr>
                <w:iCs/>
                <w:sz w:val="28"/>
                <w:szCs w:val="28"/>
                <w:lang w:val="uk-UA"/>
              </w:rPr>
              <w:t>.</w:t>
            </w:r>
            <w:r>
              <w:rPr>
                <w:iCs/>
                <w:sz w:val="28"/>
                <w:szCs w:val="28"/>
                <w:lang w:val="en-US"/>
              </w:rPr>
              <w:t>com</w:t>
            </w:r>
            <w:r>
              <w:rPr>
                <w:iCs/>
                <w:sz w:val="28"/>
                <w:szCs w:val="28"/>
                <w:lang w:val="uk-UA"/>
              </w:rPr>
              <w:t>/</w:t>
            </w:r>
            <w:r>
              <w:rPr>
                <w:iCs/>
                <w:sz w:val="28"/>
                <w:szCs w:val="28"/>
                <w:lang w:val="en-US"/>
              </w:rPr>
              <w:t>herbal</w:t>
            </w:r>
            <w:r>
              <w:rPr>
                <w:iCs/>
                <w:sz w:val="28"/>
                <w:szCs w:val="28"/>
                <w:lang w:val="uk-UA"/>
              </w:rPr>
              <w:t>_</w:t>
            </w:r>
            <w:r>
              <w:rPr>
                <w:iCs/>
                <w:sz w:val="28"/>
                <w:szCs w:val="28"/>
                <w:lang w:val="en-US"/>
              </w:rPr>
              <w:t>medicine</w:t>
            </w:r>
            <w:r>
              <w:rPr>
                <w:iCs/>
                <w:sz w:val="28"/>
                <w:szCs w:val="28"/>
                <w:lang w:val="uk-UA"/>
              </w:rPr>
              <w:t>/</w:t>
            </w:r>
            <w:r>
              <w:rPr>
                <w:iCs/>
                <w:sz w:val="28"/>
                <w:szCs w:val="28"/>
                <w:lang w:val="en-US"/>
              </w:rPr>
              <w:t>side</w:t>
            </w:r>
            <w:r>
              <w:rPr>
                <w:iCs/>
                <w:sz w:val="28"/>
                <w:szCs w:val="28"/>
                <w:lang w:val="uk-UA"/>
              </w:rPr>
              <w:t>_</w:t>
            </w:r>
            <w:r>
              <w:rPr>
                <w:iCs/>
                <w:sz w:val="28"/>
                <w:szCs w:val="28"/>
                <w:lang w:val="en-US"/>
              </w:rPr>
              <w:t>effects</w:t>
            </w:r>
            <w:r>
              <w:rPr>
                <w:iCs/>
                <w:sz w:val="28"/>
                <w:szCs w:val="28"/>
                <w:lang w:val="uk-UA"/>
              </w:rPr>
              <w:t>/</w:t>
            </w:r>
            <w:r>
              <w:rPr>
                <w:iCs/>
                <w:sz w:val="28"/>
                <w:szCs w:val="28"/>
                <w:lang w:val="en-US"/>
              </w:rPr>
              <w:t>melatonin</w:t>
            </w:r>
            <w:r>
              <w:rPr>
                <w:iCs/>
                <w:sz w:val="28"/>
                <w:szCs w:val="28"/>
                <w:lang w:val="uk-UA"/>
              </w:rPr>
              <w:t>_</w:t>
            </w:r>
            <w:r>
              <w:rPr>
                <w:iCs/>
                <w:sz w:val="28"/>
                <w:szCs w:val="28"/>
                <w:lang w:val="en-US"/>
              </w:rPr>
              <w:t>side</w:t>
            </w:r>
            <w:r>
              <w:rPr>
                <w:iCs/>
                <w:sz w:val="28"/>
                <w:szCs w:val="28"/>
                <w:lang w:val="uk-UA"/>
              </w:rPr>
              <w:t>_</w:t>
            </w:r>
            <w:r>
              <w:rPr>
                <w:iCs/>
                <w:sz w:val="28"/>
                <w:szCs w:val="28"/>
                <w:lang w:val="en-US"/>
              </w:rPr>
              <w:t>effects</w:t>
            </w:r>
            <w:r>
              <w:rPr>
                <w:iCs/>
                <w:sz w:val="28"/>
                <w:szCs w:val="28"/>
                <w:lang w:val="uk-UA"/>
              </w:rPr>
              <w:t>.</w:t>
            </w:r>
            <w:r>
              <w:rPr>
                <w:iCs/>
                <w:sz w:val="28"/>
                <w:szCs w:val="28"/>
                <w:lang w:val="en-US"/>
              </w:rPr>
              <w:t>html</w:t>
            </w:r>
            <w:r>
              <w:rPr>
                <w:iCs/>
                <w:sz w:val="28"/>
                <w:szCs w:val="28"/>
                <w:lang w:val="uk-UA"/>
              </w:rPr>
              <w:t xml:space="preserve">. </w:t>
            </w:r>
            <w:r>
              <w:rPr>
                <w:sz w:val="28"/>
                <w:szCs w:val="28"/>
                <w:lang w:val="uk-UA"/>
              </w:rPr>
              <w:t>–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iCs/>
                <w:sz w:val="28"/>
                <w:szCs w:val="28"/>
                <w:lang w:val="uk-UA"/>
              </w:rPr>
            </w:pPr>
            <w:r>
              <w:rPr>
                <w:sz w:val="28"/>
                <w:szCs w:val="28"/>
                <w:lang w:val="en-US"/>
              </w:rPr>
              <w:t>Melatonin</w:t>
            </w:r>
            <w:r>
              <w:rPr>
                <w:sz w:val="28"/>
                <w:szCs w:val="28"/>
                <w:lang w:val="uk-UA"/>
              </w:rPr>
              <w:t xml:space="preserve"> / </w:t>
            </w:r>
            <w:r>
              <w:rPr>
                <w:sz w:val="28"/>
                <w:szCs w:val="28"/>
                <w:lang w:val="en-US"/>
              </w:rPr>
              <w:t>University</w:t>
            </w:r>
            <w:r>
              <w:rPr>
                <w:sz w:val="28"/>
                <w:szCs w:val="28"/>
                <w:lang w:val="uk-UA"/>
              </w:rPr>
              <w:t xml:space="preserve"> </w:t>
            </w:r>
            <w:r>
              <w:rPr>
                <w:sz w:val="28"/>
                <w:szCs w:val="28"/>
                <w:lang w:val="en-US"/>
              </w:rPr>
              <w:t>of</w:t>
            </w:r>
            <w:r>
              <w:rPr>
                <w:sz w:val="28"/>
                <w:szCs w:val="28"/>
                <w:lang w:val="uk-UA"/>
              </w:rPr>
              <w:t xml:space="preserve"> </w:t>
            </w:r>
            <w:r>
              <w:rPr>
                <w:sz w:val="28"/>
                <w:szCs w:val="28"/>
                <w:lang w:val="en-US"/>
              </w:rPr>
              <w:t>Michigan</w:t>
            </w:r>
            <w:r>
              <w:rPr>
                <w:sz w:val="28"/>
                <w:szCs w:val="28"/>
                <w:lang w:val="uk-UA"/>
              </w:rPr>
              <w:t xml:space="preserve"> </w:t>
            </w:r>
            <w:r>
              <w:rPr>
                <w:sz w:val="28"/>
                <w:szCs w:val="28"/>
                <w:lang w:val="en-US"/>
              </w:rPr>
              <w:t>Health</w:t>
            </w:r>
            <w:r>
              <w:rPr>
                <w:sz w:val="28"/>
                <w:szCs w:val="28"/>
                <w:lang w:val="uk-UA"/>
              </w:rPr>
              <w:t xml:space="preserve"> </w:t>
            </w:r>
            <w:r>
              <w:rPr>
                <w:sz w:val="28"/>
                <w:szCs w:val="28"/>
                <w:lang w:val="en-US"/>
              </w:rPr>
              <w:t>System</w:t>
            </w:r>
            <w:r>
              <w:rPr>
                <w:sz w:val="28"/>
                <w:szCs w:val="28"/>
                <w:lang w:val="uk-UA"/>
              </w:rPr>
              <w:t xml:space="preserve">. – 2007. – Режим доступу: </w:t>
            </w:r>
            <w:r>
              <w:rPr>
                <w:sz w:val="28"/>
                <w:szCs w:val="28"/>
                <w:lang w:val="en-US"/>
              </w:rPr>
              <w:t>http</w:t>
            </w:r>
            <w:r>
              <w:rPr>
                <w:sz w:val="28"/>
                <w:szCs w:val="28"/>
                <w:lang w:val="uk-UA"/>
              </w:rPr>
              <w:t>://</w:t>
            </w:r>
            <w:r>
              <w:rPr>
                <w:sz w:val="28"/>
                <w:szCs w:val="28"/>
                <w:lang w:val="en-US"/>
              </w:rPr>
              <w:t>health</w:t>
            </w:r>
            <w:r>
              <w:rPr>
                <w:sz w:val="28"/>
                <w:szCs w:val="28"/>
                <w:lang w:val="uk-UA"/>
              </w:rPr>
              <w:t>.</w:t>
            </w:r>
            <w:r>
              <w:rPr>
                <w:sz w:val="28"/>
                <w:szCs w:val="28"/>
                <w:lang w:val="en-US"/>
              </w:rPr>
              <w:t>med</w:t>
            </w:r>
            <w:r>
              <w:rPr>
                <w:sz w:val="28"/>
                <w:szCs w:val="28"/>
                <w:lang w:val="uk-UA"/>
              </w:rPr>
              <w:t>.</w:t>
            </w:r>
            <w:r>
              <w:rPr>
                <w:sz w:val="28"/>
                <w:szCs w:val="28"/>
                <w:lang w:val="en-US"/>
              </w:rPr>
              <w:t>umich</w:t>
            </w:r>
            <w:r>
              <w:rPr>
                <w:sz w:val="28"/>
                <w:szCs w:val="28"/>
                <w:lang w:val="uk-UA"/>
              </w:rPr>
              <w:t>.</w:t>
            </w:r>
            <w:r>
              <w:rPr>
                <w:sz w:val="28"/>
                <w:szCs w:val="28"/>
                <w:lang w:val="en-US"/>
              </w:rPr>
              <w:t>edu</w:t>
            </w:r>
            <w:r>
              <w:rPr>
                <w:sz w:val="28"/>
                <w:szCs w:val="28"/>
                <w:lang w:val="uk-UA"/>
              </w:rPr>
              <w:t>/</w:t>
            </w:r>
            <w:r>
              <w:rPr>
                <w:sz w:val="28"/>
                <w:szCs w:val="28"/>
                <w:lang w:val="en-US"/>
              </w:rPr>
              <w:t>body</w:t>
            </w:r>
            <w:r>
              <w:rPr>
                <w:sz w:val="28"/>
                <w:szCs w:val="28"/>
                <w:lang w:val="uk-UA"/>
              </w:rPr>
              <w:t>.</w:t>
            </w:r>
            <w:r>
              <w:rPr>
                <w:sz w:val="28"/>
                <w:szCs w:val="28"/>
                <w:lang w:val="en-US"/>
              </w:rPr>
              <w:t>cfm</w:t>
            </w:r>
            <w:r>
              <w:rPr>
                <w:sz w:val="28"/>
                <w:szCs w:val="28"/>
                <w:lang w:val="uk-UA"/>
              </w:rPr>
              <w:t>?</w:t>
            </w:r>
            <w:r>
              <w:rPr>
                <w:sz w:val="28"/>
                <w:szCs w:val="28"/>
                <w:lang w:val="en-US"/>
              </w:rPr>
              <w:t>xyzpdqabc</w:t>
            </w:r>
            <w:r>
              <w:rPr>
                <w:sz w:val="28"/>
                <w:szCs w:val="28"/>
                <w:lang w:val="uk-UA"/>
              </w:rPr>
              <w:t>=0&amp;</w:t>
            </w:r>
            <w:r>
              <w:rPr>
                <w:sz w:val="28"/>
                <w:szCs w:val="28"/>
                <w:lang w:val="en-US"/>
              </w:rPr>
              <w:t>id</w:t>
            </w:r>
            <w:r>
              <w:rPr>
                <w:sz w:val="28"/>
                <w:szCs w:val="28"/>
                <w:lang w:val="uk-UA"/>
              </w:rPr>
              <w:t>=6&amp;</w:t>
            </w:r>
            <w:r>
              <w:rPr>
                <w:sz w:val="28"/>
                <w:szCs w:val="28"/>
                <w:lang w:val="en-US"/>
              </w:rPr>
              <w:t>action</w:t>
            </w:r>
            <w:r>
              <w:rPr>
                <w:sz w:val="28"/>
                <w:szCs w:val="28"/>
                <w:lang w:val="uk-UA"/>
              </w:rPr>
              <w:t>=</w:t>
            </w:r>
            <w:r>
              <w:rPr>
                <w:sz w:val="28"/>
                <w:szCs w:val="28"/>
                <w:lang w:val="en-US"/>
              </w:rPr>
              <w:t>detail</w:t>
            </w:r>
            <w:r>
              <w:rPr>
                <w:sz w:val="28"/>
                <w:szCs w:val="28"/>
                <w:lang w:val="uk-UA"/>
              </w:rPr>
              <w:t>&amp;</w:t>
            </w:r>
            <w:r>
              <w:rPr>
                <w:sz w:val="28"/>
                <w:szCs w:val="28"/>
                <w:lang w:val="en-US"/>
              </w:rPr>
              <w:t>AEProductID</w:t>
            </w:r>
            <w:r>
              <w:rPr>
                <w:sz w:val="28"/>
                <w:szCs w:val="28"/>
                <w:lang w:val="uk-UA"/>
              </w:rPr>
              <w:t>=</w:t>
            </w:r>
            <w:r>
              <w:rPr>
                <w:sz w:val="28"/>
                <w:szCs w:val="28"/>
                <w:lang w:val="en-US"/>
              </w:rPr>
              <w:t>HW</w:t>
            </w:r>
            <w:r>
              <w:rPr>
                <w:sz w:val="28"/>
                <w:szCs w:val="28"/>
                <w:lang w:val="uk-UA"/>
              </w:rPr>
              <w:t>_</w:t>
            </w:r>
            <w:r>
              <w:rPr>
                <w:sz w:val="28"/>
                <w:szCs w:val="28"/>
                <w:lang w:val="en-US"/>
              </w:rPr>
              <w:t>CAM</w:t>
            </w:r>
            <w:r>
              <w:rPr>
                <w:sz w:val="28"/>
                <w:szCs w:val="28"/>
                <w:lang w:val="uk-UA"/>
              </w:rPr>
              <w:t>&amp;</w:t>
            </w:r>
            <w:r>
              <w:rPr>
                <w:sz w:val="28"/>
                <w:szCs w:val="28"/>
                <w:lang w:val="en-US"/>
              </w:rPr>
              <w:t>AEArticleID</w:t>
            </w:r>
            <w:r>
              <w:rPr>
                <w:sz w:val="28"/>
                <w:szCs w:val="28"/>
                <w:lang w:val="uk-UA"/>
              </w:rPr>
              <w:t>=</w:t>
            </w:r>
            <w:r>
              <w:rPr>
                <w:sz w:val="28"/>
                <w:szCs w:val="28"/>
                <w:lang w:val="en-US"/>
              </w:rPr>
              <w:t>hn</w:t>
            </w:r>
            <w:r>
              <w:rPr>
                <w:sz w:val="28"/>
                <w:szCs w:val="28"/>
                <w:lang w:val="uk-UA"/>
              </w:rPr>
              <w:t>-2883002&amp;</w:t>
            </w:r>
            <w:r>
              <w:rPr>
                <w:sz w:val="28"/>
                <w:szCs w:val="28"/>
                <w:lang w:val="en-US"/>
              </w:rPr>
              <w:t>AEArticleType</w:t>
            </w:r>
            <w:r>
              <w:rPr>
                <w:sz w:val="28"/>
                <w:szCs w:val="28"/>
                <w:lang w:val="uk-UA"/>
              </w:rPr>
              <w:t>=</w:t>
            </w:r>
            <w:r>
              <w:rPr>
                <w:sz w:val="28"/>
                <w:szCs w:val="28"/>
                <w:lang w:val="en-US"/>
              </w:rPr>
              <w:t>Cam</w:t>
            </w:r>
            <w:r>
              <w:rPr>
                <w:sz w:val="28"/>
                <w:szCs w:val="28"/>
                <w:lang w:val="uk-UA"/>
              </w:rPr>
              <w:t>.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iCs/>
                <w:sz w:val="28"/>
                <w:szCs w:val="28"/>
                <w:lang w:val="uk-UA"/>
              </w:rPr>
            </w:pPr>
            <w:r>
              <w:rPr>
                <w:sz w:val="28"/>
                <w:szCs w:val="28"/>
                <w:lang w:val="uk-UA"/>
              </w:rPr>
              <w:t xml:space="preserve">Luego D. Is </w:t>
            </w:r>
            <w:r>
              <w:rPr>
                <w:sz w:val="28"/>
                <w:szCs w:val="28"/>
                <w:lang w:val="en-US"/>
              </w:rPr>
              <w:t>Melatonin</w:t>
            </w:r>
            <w:r>
              <w:rPr>
                <w:sz w:val="28"/>
                <w:szCs w:val="28"/>
                <w:lang w:val="uk-UA"/>
              </w:rPr>
              <w:t xml:space="preserve"> safe to take? / D. Luego Friday. – 2008. </w:t>
            </w:r>
            <w:r>
              <w:rPr>
                <w:lang w:val="uk-UA"/>
              </w:rPr>
              <w:t xml:space="preserve"> </w:t>
            </w:r>
            <w:r>
              <w:rPr>
                <w:sz w:val="28"/>
                <w:szCs w:val="28"/>
                <w:lang w:val="uk-UA"/>
              </w:rPr>
              <w:t>– Режим доступу: http://evidencebasedonly.blogspot.com/2008/01/is-melatonin-safe-to-take.html.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Blocking low-wavelength light prevents nocturnal melatonin suppression with no adverse effect on performance during simulated shift work [Електронний ресурс] / L. Kayumov, R. F. Casper, R. J. Hawa [et al.] // Journal of clinical endocrinology &amp; metabolism. – 2005. – Vol. 90, No.5. – P. 2755-2761. – Режим доступу до журналу: http://jcem.endojournals.org/cgi/reprint/53/1445</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bidi="bo-CN"/>
              </w:rPr>
              <w:t xml:space="preserve">Gender, Age, Society, Culture, and the Patient’s Perspective in the Functional Gastrointestinal Disorders </w:t>
            </w:r>
            <w:r>
              <w:rPr>
                <w:sz w:val="28"/>
                <w:szCs w:val="28"/>
                <w:lang w:val="uk-UA"/>
              </w:rPr>
              <w:t xml:space="preserve">[Електронний ресурс] </w:t>
            </w:r>
            <w:r>
              <w:rPr>
                <w:sz w:val="28"/>
                <w:szCs w:val="28"/>
                <w:lang w:val="uk-UA" w:bidi="bo-CN"/>
              </w:rPr>
              <w:t xml:space="preserve">/ Chang L., Toner B., Fukudo S. et al. // </w:t>
            </w:r>
            <w:r>
              <w:rPr>
                <w:sz w:val="28"/>
                <w:szCs w:val="28"/>
                <w:lang w:val="uk-UA"/>
              </w:rPr>
              <w:t>Gastroenterology. – 2006. – Vol. 130. – P. 1435–1446. – Режим доступу до журналу: http://www.romecriteria.org/pdfs/p1435GenderAgeSociety.pdf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 xml:space="preserve">Diagnostic yield of alarm features in irritable bowel syndrome and functional dyspepsia </w:t>
            </w:r>
            <w:r>
              <w:rPr>
                <w:sz w:val="28"/>
                <w:szCs w:val="28"/>
                <w:lang w:val="uk-UA"/>
              </w:rPr>
              <w:t>/</w:t>
            </w:r>
            <w:r>
              <w:rPr>
                <w:bCs/>
                <w:sz w:val="28"/>
                <w:szCs w:val="28"/>
                <w:lang w:val="uk-UA"/>
              </w:rPr>
              <w:t xml:space="preserve"> J.</w:t>
            </w:r>
            <w:r>
              <w:rPr>
                <w:sz w:val="28"/>
                <w:szCs w:val="28"/>
                <w:lang w:val="uk-UA"/>
              </w:rPr>
              <w:t xml:space="preserve"> </w:t>
            </w:r>
            <w:r>
              <w:rPr>
                <w:bCs/>
                <w:sz w:val="28"/>
                <w:szCs w:val="28"/>
                <w:lang w:val="uk-UA"/>
              </w:rPr>
              <w:t xml:space="preserve">Hammer, G. D. Eslick, S. C. Howell [et al.] // </w:t>
            </w:r>
            <w:r>
              <w:rPr>
                <w:iCs/>
                <w:sz w:val="28"/>
                <w:szCs w:val="28"/>
                <w:lang w:val="uk-UA"/>
              </w:rPr>
              <w:t xml:space="preserve">Gut. – </w:t>
            </w:r>
            <w:r>
              <w:rPr>
                <w:sz w:val="28"/>
                <w:szCs w:val="28"/>
                <w:lang w:val="uk-UA"/>
              </w:rPr>
              <w:t xml:space="preserve">2004. – Vol. </w:t>
            </w:r>
            <w:r>
              <w:rPr>
                <w:bCs/>
                <w:sz w:val="28"/>
                <w:szCs w:val="28"/>
                <w:lang w:val="uk-UA"/>
              </w:rPr>
              <w:t>53. – P.</w:t>
            </w:r>
            <w:r>
              <w:rPr>
                <w:sz w:val="28"/>
                <w:szCs w:val="28"/>
                <w:lang w:val="uk-UA"/>
              </w:rPr>
              <w:t xml:space="preserve">666-672.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Veldhuyzen van Zanten S. J. O. Assesement of outcome in dyspepsia: has progress been made? / S. J. O. Veldhuyzen van Zanten // Gut. – 2002. – Vol. 50. – P. 23-25.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Borgaonkar M. R. Quality of life measurement in gastrointestinal and liver disorders / M. R. Borgaonkar, E. J. Irvine // Gut. – 2000. – Vol. 47. – P. 444-454. </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Headache Research Report. Appendix N: Gastrointestinal Symptom Rating Scale (GSRS). – Режим доступу: http://www.meridianinstitute.com/reports/headache/Appendix%20N.pdf.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Внутрішньопорожнинна рН-метрія шлунково-кишкового тракту [Практичне керівництво / І. Я. Будзак, В. І. Гриценко, І. І. Грищенко [та ін.] / Під ред. В.М. Чернобрового]. – Вінниця: „Логос”, 1999. – 80с.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Яковенко А.В. рН-метрия в клинической практике. Учебно-методическое пособие (Механизмы кислотообразования и современные методы его исследования). – Режим доступу: http://www.i-s.ru/jak24a.htm.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bCs/>
                <w:sz w:val="28"/>
                <w:szCs w:val="28"/>
                <w:lang w:val="uk-UA"/>
              </w:rPr>
              <w:t>Скрипка А. А. Шлункова секреція у хворих на постхолецистектомічний синдром та її взаємозв’язок з H. pylori – інфікованістю / А. А. Скрипка // Український терапевтичний журнал. – 2004. – № 2. – С. 59-63.</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Торонтская Алекситимическая Шкала. – 2005. – Режим доступу: http://dr-belenko.narod.ru/TAS.htm.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Шкала депрессии Бека (BDI). – 2005. – Режим доступу: http://psynet.by.ru/tests/bek.htm.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Тест «Исследование тревожности» (опросник Спилбергера-Ханина). – 2005. – Режим доступу: http://www.valeo.edu.ru/data/educat/lib/3/4/00734/test_spilbergera.doc?nowrap=1. - Заголовок з екрану.</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Measurement of urinary melatonin: A useful tool for monitoring serum melatonin after its oral administration [Електронний ресурс] / J. Kovács, W. Bronder, V. Kirchlechner [et al.] // Journal of clinical endocrinology &amp; metabolism. – 2000. – Vol. 85, No.2. – P. 666-670. – Режим доступу до журналу: http://jcem.endojournals.org/cgi/reprint/85/2/666</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 xml:space="preserve">Pharmacological and pharmacokinetic aspects of functional gastrointestinal disorders [Електронний ресурс] / M. Camilleri, L. Bueno, F. de Ponti [et al.] // Gastroenterology. – 2006. – Vol.130. – P. 1421-1434. – Режим доступу до журналу: </w:t>
            </w:r>
            <w:r>
              <w:rPr>
                <w:spacing w:val="-2"/>
                <w:sz w:val="28"/>
                <w:szCs w:val="28"/>
                <w:lang w:val="uk-UA"/>
              </w:rPr>
              <w:t>http://www.romecriteria.org/pdfs/p1421PharmacologicalandPharmokinetic.pdf</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iCs/>
                <w:sz w:val="28"/>
                <w:szCs w:val="28"/>
                <w:lang w:val="uk-UA"/>
              </w:rPr>
              <w:t xml:space="preserve">Наследов А. SPSS </w:t>
            </w:r>
            <w:r>
              <w:rPr>
                <w:sz w:val="28"/>
                <w:szCs w:val="28"/>
                <w:lang w:val="uk-UA"/>
              </w:rPr>
              <w:t>–</w:t>
            </w:r>
            <w:r>
              <w:rPr>
                <w:iCs/>
                <w:sz w:val="28"/>
                <w:szCs w:val="28"/>
                <w:lang w:val="uk-UA"/>
              </w:rPr>
              <w:t xml:space="preserve"> компьютерный анализ данных в психологии и с</w:t>
            </w:r>
            <w:r>
              <w:rPr>
                <w:iCs/>
                <w:sz w:val="28"/>
                <w:szCs w:val="28"/>
                <w:lang w:val="uk-UA"/>
              </w:rPr>
              <w:t>о</w:t>
            </w:r>
            <w:r>
              <w:rPr>
                <w:iCs/>
                <w:sz w:val="28"/>
                <w:szCs w:val="28"/>
                <w:lang w:val="uk-UA"/>
              </w:rPr>
              <w:t>циальных науках / А. Наследов. – Питер, 2007. – 416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iCs/>
                <w:sz w:val="28"/>
                <w:szCs w:val="28"/>
                <w:lang w:val="uk-UA"/>
              </w:rPr>
            </w:pPr>
            <w:r>
              <w:rPr>
                <w:iCs/>
                <w:sz w:val="28"/>
                <w:szCs w:val="28"/>
                <w:lang w:val="uk-UA"/>
              </w:rPr>
              <w:t>Ермолаев О.Ю. Математическая статистика для психологов: Учебник / О. Ю. Ермолаев. – М.: Московский психолого-социальный институт: Флинта, 2002. – 336 с.</w:t>
            </w:r>
          </w:p>
        </w:tc>
      </w:tr>
      <w:tr w:rsidR="006A6786" w:rsidTr="0095184B">
        <w:trPr>
          <w:cantSplit/>
        </w:trPr>
        <w:tc>
          <w:tcPr>
            <w:tcW w:w="828" w:type="dxa"/>
          </w:tcPr>
          <w:p w:rsidR="006A6786" w:rsidRDefault="006A6786" w:rsidP="00331249">
            <w:pPr>
              <w:numPr>
                <w:ilvl w:val="0"/>
                <w:numId w:val="70"/>
              </w:numPr>
              <w:suppressAutoHyphens w:val="0"/>
              <w:spacing w:line="360" w:lineRule="auto"/>
              <w:rPr>
                <w:sz w:val="28"/>
                <w:szCs w:val="28"/>
                <w:lang w:val="uk-UA"/>
              </w:rPr>
            </w:pPr>
          </w:p>
        </w:tc>
        <w:tc>
          <w:tcPr>
            <w:tcW w:w="9000" w:type="dxa"/>
          </w:tcPr>
          <w:p w:rsidR="006A6786" w:rsidRDefault="006A6786" w:rsidP="0095184B">
            <w:pPr>
              <w:spacing w:line="360" w:lineRule="auto"/>
              <w:jc w:val="both"/>
              <w:rPr>
                <w:sz w:val="28"/>
                <w:szCs w:val="28"/>
                <w:lang w:val="uk-UA"/>
              </w:rPr>
            </w:pPr>
            <w:r>
              <w:rPr>
                <w:sz w:val="28"/>
                <w:szCs w:val="28"/>
                <w:lang w:val="uk-UA"/>
              </w:rPr>
              <w:t>Design of treatment trials for functional gastrointestinal disorders [Електронний ресурс] / E. J. Irvine, W. E. Whitehead, W. D. Chey [et al.] // Gastroenterology. – 2006. – Vol.130. – P. 1538-1551. – Режим доступу до журналу: http://www.romecriteria.org/pdfs/p1538DesignofTreatmentTrials.pdf</w:t>
            </w:r>
          </w:p>
        </w:tc>
      </w:tr>
    </w:tbl>
    <w:p w:rsidR="006A6786" w:rsidRDefault="006A6786" w:rsidP="006A6786">
      <w:pPr>
        <w:spacing w:line="360" w:lineRule="auto"/>
        <w:jc w:val="both"/>
        <w:rPr>
          <w:sz w:val="28"/>
          <w:szCs w:val="28"/>
          <w:lang w:val="uk-UA"/>
        </w:rPr>
      </w:pPr>
    </w:p>
    <w:p w:rsidR="005C69F7" w:rsidRPr="006A6786" w:rsidRDefault="005C69F7" w:rsidP="006A6786">
      <w:pPr>
        <w:spacing w:line="360" w:lineRule="auto"/>
        <w:ind w:firstLine="709"/>
        <w:jc w:val="center"/>
        <w:rPr>
          <w:b/>
          <w:sz w:val="28"/>
          <w:szCs w:val="28"/>
          <w:lang w:val="uk-UA"/>
        </w:rPr>
      </w:pPr>
    </w:p>
    <w:p w:rsidR="008551D2" w:rsidRPr="006A6786" w:rsidRDefault="008551D2" w:rsidP="008551D2">
      <w:pPr>
        <w:rPr>
          <w:lang w:val="en-US"/>
        </w:rPr>
      </w:pPr>
    </w:p>
    <w:p w:rsidR="005648FF" w:rsidRPr="006A6786" w:rsidRDefault="005648FF" w:rsidP="005648FF">
      <w:pPr>
        <w:autoSpaceDE w:val="0"/>
        <w:autoSpaceDN w:val="0"/>
        <w:spacing w:line="360" w:lineRule="auto"/>
        <w:jc w:val="both"/>
        <w:rPr>
          <w:lang w:val="en-US"/>
        </w:rPr>
      </w:pPr>
    </w:p>
    <w:p w:rsidR="0068362D" w:rsidRPr="00031E5A" w:rsidRDefault="0068362D" w:rsidP="005648FF">
      <w:pPr>
        <w:pStyle w:val="1"/>
        <w:keepNext w:val="0"/>
        <w:numPr>
          <w:ilvl w:val="0"/>
          <w:numId w:val="0"/>
        </w:numPr>
        <w:spacing w:before="0" w:after="0" w:line="360" w:lineRule="auto"/>
        <w:ind w:left="720"/>
      </w:pPr>
      <w:r>
        <w:rPr>
          <w:color w:val="FF0000"/>
        </w:rPr>
        <w:t>Для</w:t>
      </w:r>
      <w:r w:rsidRPr="00031E5A">
        <w:rPr>
          <w:color w:val="FF0000"/>
        </w:rPr>
        <w:t xml:space="preserve"> </w:t>
      </w:r>
      <w:r>
        <w:rPr>
          <w:color w:val="FF0000"/>
        </w:rPr>
        <w:t>заказа</w:t>
      </w:r>
      <w:r w:rsidRPr="00031E5A">
        <w:rPr>
          <w:color w:val="FF0000"/>
        </w:rPr>
        <w:t xml:space="preserve"> </w:t>
      </w:r>
      <w:r>
        <w:rPr>
          <w:color w:val="FF0000"/>
        </w:rPr>
        <w:t>доставки</w:t>
      </w:r>
      <w:r w:rsidRPr="00031E5A">
        <w:rPr>
          <w:color w:val="FF0000"/>
        </w:rPr>
        <w:t xml:space="preserve"> </w:t>
      </w:r>
      <w:r>
        <w:rPr>
          <w:color w:val="FF0000"/>
        </w:rPr>
        <w:t>данной</w:t>
      </w:r>
      <w:r w:rsidRPr="00031E5A">
        <w:rPr>
          <w:color w:val="FF0000"/>
        </w:rPr>
        <w:t xml:space="preserve"> </w:t>
      </w:r>
      <w:r>
        <w:rPr>
          <w:color w:val="FF0000"/>
        </w:rPr>
        <w:t>работы</w:t>
      </w:r>
      <w:r w:rsidRPr="00031E5A">
        <w:rPr>
          <w:color w:val="FF0000"/>
        </w:rPr>
        <w:t xml:space="preserve"> </w:t>
      </w:r>
      <w:r>
        <w:rPr>
          <w:color w:val="FF0000"/>
        </w:rPr>
        <w:t>воспользуйтесь</w:t>
      </w:r>
      <w:r w:rsidRPr="00031E5A">
        <w:rPr>
          <w:color w:val="FF0000"/>
        </w:rPr>
        <w:t xml:space="preserve"> </w:t>
      </w:r>
      <w:r>
        <w:rPr>
          <w:color w:val="FF0000"/>
        </w:rPr>
        <w:t>поиском</w:t>
      </w:r>
      <w:r w:rsidRPr="00031E5A">
        <w:rPr>
          <w:color w:val="FF0000"/>
        </w:rPr>
        <w:t xml:space="preserve"> </w:t>
      </w:r>
      <w:r>
        <w:rPr>
          <w:color w:val="FF0000"/>
        </w:rPr>
        <w:t>на</w:t>
      </w:r>
      <w:r w:rsidRPr="00031E5A">
        <w:rPr>
          <w:color w:val="FF0000"/>
        </w:rPr>
        <w:t xml:space="preserve"> </w:t>
      </w:r>
      <w:r>
        <w:rPr>
          <w:color w:val="FF0000"/>
        </w:rPr>
        <w:t>сайте</w:t>
      </w:r>
      <w:r w:rsidRPr="00031E5A">
        <w:rPr>
          <w:color w:val="FF0000"/>
        </w:rPr>
        <w:t xml:space="preserve"> </w:t>
      </w:r>
      <w:r>
        <w:rPr>
          <w:color w:val="FF0000"/>
        </w:rPr>
        <w:t>по</w:t>
      </w:r>
      <w:r w:rsidRPr="00031E5A">
        <w:rPr>
          <w:color w:val="FF0000"/>
        </w:rPr>
        <w:t xml:space="preserve"> </w:t>
      </w:r>
      <w:r>
        <w:rPr>
          <w:color w:val="FF0000"/>
        </w:rPr>
        <w:t>ссылке</w:t>
      </w:r>
      <w:r w:rsidRPr="00031E5A">
        <w:rPr>
          <w:color w:val="FF0000"/>
        </w:rPr>
        <w:t xml:space="preserve">:  </w:t>
      </w:r>
      <w:hyperlink r:id="rId21"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4D6061">
      <w:headerReference w:type="default" r:id="rId22"/>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249" w:rsidRDefault="00331249">
      <w:r>
        <w:separator/>
      </w:r>
    </w:p>
  </w:endnote>
  <w:endnote w:type="continuationSeparator" w:id="0">
    <w:p w:rsidR="00331249" w:rsidRDefault="003312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MS Mincho"/>
    <w:panose1 w:val="02020609040305080305"/>
    <w:charset w:val="80"/>
    <w:family w:val="roman"/>
    <w:notTrueType/>
    <w:pitch w:val="fixed"/>
    <w:sig w:usb0="00000000"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249" w:rsidRDefault="00331249">
      <w:r>
        <w:separator/>
      </w:r>
    </w:p>
  </w:footnote>
  <w:footnote w:type="continuationSeparator" w:id="0">
    <w:p w:rsidR="00331249" w:rsidRDefault="003312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0"/>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7">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8">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9">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0">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1">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2">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3">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4">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6">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7">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19">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0">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1">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2">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3">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5">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6">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8">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29">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0">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1">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2">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3">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5">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2">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3">
    <w:nsid w:val="156A32B7"/>
    <w:multiLevelType w:val="multilevel"/>
    <w:tmpl w:val="BB1A5640"/>
    <w:lvl w:ilvl="0">
      <w:start w:val="1"/>
      <w:numFmt w:val="decimal"/>
      <w:lvlText w:val="%1."/>
      <w:lvlJc w:val="left"/>
      <w:pPr>
        <w:tabs>
          <w:tab w:val="num" w:pos="0"/>
        </w:tabs>
        <w:ind w:left="0" w:firstLine="0"/>
      </w:pPr>
      <w:rPr>
        <w:rFonts w:hint="default"/>
      </w:rPr>
    </w:lvl>
    <w:lvl w:ilvl="1">
      <w:start w:val="1"/>
      <w:numFmt w:val="decimal"/>
      <w:lvlText w:val="2.%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4">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5">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nsid w:val="1DD36EB2"/>
    <w:multiLevelType w:val="multilevel"/>
    <w:tmpl w:val="BA40C754"/>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0"/>
        </w:tabs>
        <w:ind w:left="0" w:firstLine="0"/>
      </w:pPr>
      <w:rPr>
        <w:rFonts w:ascii="Wingdings" w:hAnsi="Wingdings" w:hint="default"/>
      </w:rPr>
    </w:lvl>
    <w:lvl w:ilvl="3">
      <w:start w:val="1"/>
      <w:numFmt w:val="bullet"/>
      <w:lvlText w:val=""/>
      <w:lvlJc w:val="left"/>
      <w:pPr>
        <w:tabs>
          <w:tab w:val="num" w:pos="680"/>
        </w:tabs>
        <w:ind w:left="680" w:firstLine="0"/>
      </w:pPr>
      <w:rPr>
        <w:rFonts w:ascii="Wingdings" w:hAnsi="Wingdings"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99B1081"/>
    <w:multiLevelType w:val="multilevel"/>
    <w:tmpl w:val="E7CC268E"/>
    <w:lvl w:ilvl="0">
      <w:start w:val="1"/>
      <w:numFmt w:val="decimal"/>
      <w:lvlText w:val="%1."/>
      <w:lvlJc w:val="left"/>
      <w:pPr>
        <w:tabs>
          <w:tab w:val="num" w:pos="0"/>
        </w:tabs>
        <w:ind w:left="0" w:firstLine="0"/>
      </w:pPr>
      <w:rPr>
        <w:rFonts w:hint="default"/>
      </w:rPr>
    </w:lvl>
    <w:lvl w:ilvl="1">
      <w:start w:val="1"/>
      <w:numFmt w:val="decimal"/>
      <w:lvlText w:val="4.%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8">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9">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1">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2">
    <w:nsid w:val="52CC131A"/>
    <w:multiLevelType w:val="multilevel"/>
    <w:tmpl w:val="291205E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3">
    <w:nsid w:val="57F21E5D"/>
    <w:multiLevelType w:val="multilevel"/>
    <w:tmpl w:val="BC8AB318"/>
    <w:styleLink w:val="14"/>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5">
    <w:nsid w:val="5DBB2A65"/>
    <w:multiLevelType w:val="multilevel"/>
    <w:tmpl w:val="ED1E2F7E"/>
    <w:lvl w:ilvl="0">
      <w:start w:val="1"/>
      <w:numFmt w:val="decimal"/>
      <w:lvlText w:val="%1."/>
      <w:lvlJc w:val="left"/>
      <w:pPr>
        <w:tabs>
          <w:tab w:val="num" w:pos="0"/>
        </w:tabs>
        <w:ind w:left="0" w:firstLine="0"/>
      </w:pPr>
      <w:rPr>
        <w:rFonts w:hint="default"/>
      </w:rPr>
    </w:lvl>
    <w:lvl w:ilvl="1">
      <w:start w:val="1"/>
      <w:numFmt w:val="decimal"/>
      <w:lvlText w:val="3.%2."/>
      <w:lvlJc w:val="left"/>
      <w:pPr>
        <w:tabs>
          <w:tab w:val="num" w:pos="0"/>
        </w:tabs>
        <w:ind w:left="0" w:firstLine="0"/>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6">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7">
    <w:nsid w:val="61F83D14"/>
    <w:multiLevelType w:val="hybridMultilevel"/>
    <w:tmpl w:val="4600D034"/>
    <w:lvl w:ilvl="0" w:tplc="010A214A">
      <w:start w:val="1"/>
      <w:numFmt w:val="decimal"/>
      <w:lvlText w:val="%1."/>
      <w:lvlJc w:val="left"/>
      <w:pPr>
        <w:tabs>
          <w:tab w:val="num" w:pos="0"/>
        </w:tabs>
        <w:ind w:left="284" w:hanging="284"/>
      </w:pPr>
      <w:rPr>
        <w:rFonts w:hint="default"/>
      </w:r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68">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abstractNum w:abstractNumId="70">
    <w:nsid w:val="6FB968DC"/>
    <w:multiLevelType w:val="hybridMultilevel"/>
    <w:tmpl w:val="0DFCC726"/>
    <w:lvl w:ilvl="0" w:tplc="6C4E6DB8">
      <w:start w:val="1"/>
      <w:numFmt w:val="decimal"/>
      <w:lvlText w:val="%1."/>
      <w:lvlJc w:val="left"/>
      <w:pPr>
        <w:tabs>
          <w:tab w:val="num" w:pos="0"/>
        </w:tabs>
        <w:ind w:left="0"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6"/>
  </w:num>
  <w:num w:numId="2">
    <w:abstractNumId w:val="7"/>
  </w:num>
  <w:num w:numId="3">
    <w:abstractNumId w:val="8"/>
  </w:num>
  <w:num w:numId="4">
    <w:abstractNumId w:val="9"/>
  </w:num>
  <w:num w:numId="5">
    <w:abstractNumId w:val="10"/>
  </w:num>
  <w:num w:numId="6">
    <w:abstractNumId w:val="11"/>
  </w:num>
  <w:num w:numId="7">
    <w:abstractNumId w:val="12"/>
  </w:num>
  <w:num w:numId="8">
    <w:abstractNumId w:val="13"/>
  </w:num>
  <w:num w:numId="9">
    <w:abstractNumId w:val="14"/>
  </w:num>
  <w:num w:numId="10">
    <w:abstractNumId w:val="15"/>
  </w:num>
  <w:num w:numId="11">
    <w:abstractNumId w:val="16"/>
  </w:num>
  <w:num w:numId="12">
    <w:abstractNumId w:val="17"/>
  </w:num>
  <w:num w:numId="13">
    <w:abstractNumId w:val="18"/>
  </w:num>
  <w:num w:numId="14">
    <w:abstractNumId w:val="19"/>
  </w:num>
  <w:num w:numId="15">
    <w:abstractNumId w:val="20"/>
  </w:num>
  <w:num w:numId="16">
    <w:abstractNumId w:val="21"/>
  </w:num>
  <w:num w:numId="17">
    <w:abstractNumId w:val="22"/>
  </w:num>
  <w:num w:numId="18">
    <w:abstractNumId w:val="23"/>
  </w:num>
  <w:num w:numId="19">
    <w:abstractNumId w:val="24"/>
  </w:num>
  <w:num w:numId="20">
    <w:abstractNumId w:val="25"/>
  </w:num>
  <w:num w:numId="21">
    <w:abstractNumId w:val="26"/>
  </w:num>
  <w:num w:numId="22">
    <w:abstractNumId w:val="27"/>
  </w:num>
  <w:num w:numId="23">
    <w:abstractNumId w:val="28"/>
  </w:num>
  <w:num w:numId="24">
    <w:abstractNumId w:val="29"/>
  </w:num>
  <w:num w:numId="25">
    <w:abstractNumId w:val="30"/>
  </w:num>
  <w:num w:numId="26">
    <w:abstractNumId w:val="31"/>
  </w:num>
  <w:num w:numId="27">
    <w:abstractNumId w:val="32"/>
  </w:num>
  <w:num w:numId="28">
    <w:abstractNumId w:val="33"/>
  </w:num>
  <w:num w:numId="29">
    <w:abstractNumId w:val="34"/>
  </w:num>
  <w:num w:numId="30">
    <w:abstractNumId w:val="35"/>
  </w:num>
  <w:num w:numId="31">
    <w:abstractNumId w:val="36"/>
  </w:num>
  <w:num w:numId="32">
    <w:abstractNumId w:val="37"/>
  </w:num>
  <w:num w:numId="33">
    <w:abstractNumId w:val="38"/>
  </w:num>
  <w:num w:numId="34">
    <w:abstractNumId w:val="39"/>
  </w:num>
  <w:num w:numId="35">
    <w:abstractNumId w:val="40"/>
  </w:num>
  <w:num w:numId="36">
    <w:abstractNumId w:val="42"/>
  </w:num>
  <w:num w:numId="37">
    <w:abstractNumId w:val="41"/>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8"/>
  </w:num>
  <w:num w:numId="45">
    <w:abstractNumId w:val="5"/>
  </w:num>
  <w:num w:numId="46">
    <w:abstractNumId w:val="50"/>
  </w:num>
  <w:num w:numId="47">
    <w:abstractNumId w:val="56"/>
  </w:num>
  <w:num w:numId="48">
    <w:abstractNumId w:val="59"/>
  </w:num>
  <w:num w:numId="49">
    <w:abstractNumId w:val="68"/>
  </w:num>
  <w:num w:numId="50">
    <w:abstractNumId w:val="48"/>
  </w:num>
  <w:num w:numId="51">
    <w:abstractNumId w:val="63"/>
  </w:num>
  <w:num w:numId="52">
    <w:abstractNumId w:val="53"/>
  </w:num>
  <w:num w:numId="53">
    <w:abstractNumId w:val="49"/>
  </w:num>
  <w:num w:numId="54">
    <w:abstractNumId w:val="55"/>
  </w:num>
  <w:num w:numId="55">
    <w:abstractNumId w:val="47"/>
  </w:num>
  <w:num w:numId="56">
    <w:abstractNumId w:val="44"/>
  </w:num>
  <w:num w:numId="57">
    <w:abstractNumId w:val="64"/>
  </w:num>
  <w:num w:numId="58">
    <w:abstractNumId w:val="60"/>
  </w:num>
  <w:num w:numId="59">
    <w:abstractNumId w:val="61"/>
  </w:num>
  <w:num w:numId="60">
    <w:abstractNumId w:val="66"/>
  </w:num>
  <w:num w:numId="61">
    <w:abstractNumId w:val="54"/>
  </w:num>
  <w:num w:numId="62">
    <w:abstractNumId w:val="69"/>
  </w:num>
  <w:num w:numId="63">
    <w:abstractNumId w:val="45"/>
  </w:num>
  <w:num w:numId="64">
    <w:abstractNumId w:val="43"/>
  </w:num>
  <w:num w:numId="65">
    <w:abstractNumId w:val="65"/>
  </w:num>
  <w:num w:numId="66">
    <w:abstractNumId w:val="62"/>
  </w:num>
  <w:num w:numId="67">
    <w:abstractNumId w:val="46"/>
  </w:num>
  <w:num w:numId="68">
    <w:abstractNumId w:val="57"/>
  </w:num>
  <w:num w:numId="69">
    <w:abstractNumId w:val="67"/>
  </w:num>
  <w:num w:numId="70">
    <w:abstractNumId w:val="7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23E"/>
    <w:rsid w:val="0000129F"/>
    <w:rsid w:val="00002C8A"/>
    <w:rsid w:val="0000345D"/>
    <w:rsid w:val="00004FC9"/>
    <w:rsid w:val="000050B9"/>
    <w:rsid w:val="00005ECC"/>
    <w:rsid w:val="000071A8"/>
    <w:rsid w:val="00007646"/>
    <w:rsid w:val="00007D08"/>
    <w:rsid w:val="00010143"/>
    <w:rsid w:val="00010A2E"/>
    <w:rsid w:val="000112FA"/>
    <w:rsid w:val="00011367"/>
    <w:rsid w:val="00011E3A"/>
    <w:rsid w:val="000140B7"/>
    <w:rsid w:val="000143F4"/>
    <w:rsid w:val="0001496C"/>
    <w:rsid w:val="000150FF"/>
    <w:rsid w:val="00016596"/>
    <w:rsid w:val="0001741A"/>
    <w:rsid w:val="00017F19"/>
    <w:rsid w:val="00020234"/>
    <w:rsid w:val="00021A3F"/>
    <w:rsid w:val="00025B1B"/>
    <w:rsid w:val="00026BF6"/>
    <w:rsid w:val="000277FD"/>
    <w:rsid w:val="00027B78"/>
    <w:rsid w:val="00031717"/>
    <w:rsid w:val="00031E2F"/>
    <w:rsid w:val="00031E5A"/>
    <w:rsid w:val="00036922"/>
    <w:rsid w:val="00040AD3"/>
    <w:rsid w:val="000410B3"/>
    <w:rsid w:val="0004141C"/>
    <w:rsid w:val="00042E74"/>
    <w:rsid w:val="00043386"/>
    <w:rsid w:val="00043CBF"/>
    <w:rsid w:val="000441D7"/>
    <w:rsid w:val="000458CD"/>
    <w:rsid w:val="00045E80"/>
    <w:rsid w:val="000464F6"/>
    <w:rsid w:val="0004729D"/>
    <w:rsid w:val="00051685"/>
    <w:rsid w:val="000533F6"/>
    <w:rsid w:val="00053EC4"/>
    <w:rsid w:val="0005543B"/>
    <w:rsid w:val="000555E3"/>
    <w:rsid w:val="000561E5"/>
    <w:rsid w:val="0005645B"/>
    <w:rsid w:val="00056D95"/>
    <w:rsid w:val="0005740C"/>
    <w:rsid w:val="00063B11"/>
    <w:rsid w:val="00063BA4"/>
    <w:rsid w:val="00064737"/>
    <w:rsid w:val="00064F31"/>
    <w:rsid w:val="00065A84"/>
    <w:rsid w:val="0006663E"/>
    <w:rsid w:val="00066EF0"/>
    <w:rsid w:val="0006775F"/>
    <w:rsid w:val="00067B48"/>
    <w:rsid w:val="00067D64"/>
    <w:rsid w:val="000701DE"/>
    <w:rsid w:val="00070482"/>
    <w:rsid w:val="0007195A"/>
    <w:rsid w:val="00074283"/>
    <w:rsid w:val="00074616"/>
    <w:rsid w:val="00074AD3"/>
    <w:rsid w:val="00075237"/>
    <w:rsid w:val="00076221"/>
    <w:rsid w:val="0007671E"/>
    <w:rsid w:val="0007728B"/>
    <w:rsid w:val="0008255B"/>
    <w:rsid w:val="00082AE0"/>
    <w:rsid w:val="0008397B"/>
    <w:rsid w:val="00084163"/>
    <w:rsid w:val="000849E5"/>
    <w:rsid w:val="00085C0A"/>
    <w:rsid w:val="00085D85"/>
    <w:rsid w:val="00086FC4"/>
    <w:rsid w:val="00093C26"/>
    <w:rsid w:val="00094AB3"/>
    <w:rsid w:val="00095223"/>
    <w:rsid w:val="000957B7"/>
    <w:rsid w:val="00097530"/>
    <w:rsid w:val="000976D0"/>
    <w:rsid w:val="000A0D96"/>
    <w:rsid w:val="000A2B85"/>
    <w:rsid w:val="000A2D72"/>
    <w:rsid w:val="000A3262"/>
    <w:rsid w:val="000A438C"/>
    <w:rsid w:val="000A4E73"/>
    <w:rsid w:val="000A56E3"/>
    <w:rsid w:val="000A6478"/>
    <w:rsid w:val="000A6639"/>
    <w:rsid w:val="000B003D"/>
    <w:rsid w:val="000B03B7"/>
    <w:rsid w:val="000B2515"/>
    <w:rsid w:val="000B32A7"/>
    <w:rsid w:val="000B634A"/>
    <w:rsid w:val="000B67D4"/>
    <w:rsid w:val="000B6AF5"/>
    <w:rsid w:val="000B6BDD"/>
    <w:rsid w:val="000B7CF6"/>
    <w:rsid w:val="000C0078"/>
    <w:rsid w:val="000C049C"/>
    <w:rsid w:val="000C04E7"/>
    <w:rsid w:val="000C0BEF"/>
    <w:rsid w:val="000C0BF5"/>
    <w:rsid w:val="000C0C0A"/>
    <w:rsid w:val="000C16BB"/>
    <w:rsid w:val="000C2AA7"/>
    <w:rsid w:val="000C2D05"/>
    <w:rsid w:val="000C35B7"/>
    <w:rsid w:val="000C54CD"/>
    <w:rsid w:val="000C61EE"/>
    <w:rsid w:val="000D00D4"/>
    <w:rsid w:val="000D071C"/>
    <w:rsid w:val="000D07E0"/>
    <w:rsid w:val="000D0CBD"/>
    <w:rsid w:val="000D2412"/>
    <w:rsid w:val="000D3398"/>
    <w:rsid w:val="000D4461"/>
    <w:rsid w:val="000D4C60"/>
    <w:rsid w:val="000D53AB"/>
    <w:rsid w:val="000D5470"/>
    <w:rsid w:val="000D5D95"/>
    <w:rsid w:val="000D668B"/>
    <w:rsid w:val="000D6A66"/>
    <w:rsid w:val="000E07FB"/>
    <w:rsid w:val="000E0C5A"/>
    <w:rsid w:val="000E265A"/>
    <w:rsid w:val="000E2791"/>
    <w:rsid w:val="000E2E15"/>
    <w:rsid w:val="000E2EDA"/>
    <w:rsid w:val="000E4476"/>
    <w:rsid w:val="000E45DD"/>
    <w:rsid w:val="000E6014"/>
    <w:rsid w:val="000E6D38"/>
    <w:rsid w:val="000F04B4"/>
    <w:rsid w:val="000F15E0"/>
    <w:rsid w:val="000F20CE"/>
    <w:rsid w:val="000F54FE"/>
    <w:rsid w:val="000F5F3A"/>
    <w:rsid w:val="000F672C"/>
    <w:rsid w:val="0010053C"/>
    <w:rsid w:val="00101505"/>
    <w:rsid w:val="001023E3"/>
    <w:rsid w:val="00102400"/>
    <w:rsid w:val="00102563"/>
    <w:rsid w:val="0010266E"/>
    <w:rsid w:val="001048D2"/>
    <w:rsid w:val="0010560E"/>
    <w:rsid w:val="00107352"/>
    <w:rsid w:val="00111C6D"/>
    <w:rsid w:val="00111F05"/>
    <w:rsid w:val="0011344B"/>
    <w:rsid w:val="00114451"/>
    <w:rsid w:val="0011487C"/>
    <w:rsid w:val="00114BB7"/>
    <w:rsid w:val="00114CC4"/>
    <w:rsid w:val="001152A5"/>
    <w:rsid w:val="001172A8"/>
    <w:rsid w:val="001172AD"/>
    <w:rsid w:val="001205F8"/>
    <w:rsid w:val="00122FF7"/>
    <w:rsid w:val="00123803"/>
    <w:rsid w:val="00124212"/>
    <w:rsid w:val="001243DE"/>
    <w:rsid w:val="001254D7"/>
    <w:rsid w:val="00125F49"/>
    <w:rsid w:val="00126469"/>
    <w:rsid w:val="00126775"/>
    <w:rsid w:val="00126A9A"/>
    <w:rsid w:val="00127666"/>
    <w:rsid w:val="00130888"/>
    <w:rsid w:val="001339CE"/>
    <w:rsid w:val="001407E0"/>
    <w:rsid w:val="00140B95"/>
    <w:rsid w:val="00140CEE"/>
    <w:rsid w:val="00140EDD"/>
    <w:rsid w:val="0014243F"/>
    <w:rsid w:val="00143253"/>
    <w:rsid w:val="0014438A"/>
    <w:rsid w:val="00146978"/>
    <w:rsid w:val="00147213"/>
    <w:rsid w:val="00150725"/>
    <w:rsid w:val="00151077"/>
    <w:rsid w:val="00152934"/>
    <w:rsid w:val="00152F46"/>
    <w:rsid w:val="0015371E"/>
    <w:rsid w:val="0015444E"/>
    <w:rsid w:val="001553E1"/>
    <w:rsid w:val="00155A25"/>
    <w:rsid w:val="00162A81"/>
    <w:rsid w:val="00163056"/>
    <w:rsid w:val="0016556C"/>
    <w:rsid w:val="00165FD0"/>
    <w:rsid w:val="0016638F"/>
    <w:rsid w:val="00171284"/>
    <w:rsid w:val="0017178B"/>
    <w:rsid w:val="00171928"/>
    <w:rsid w:val="001728D1"/>
    <w:rsid w:val="001739E7"/>
    <w:rsid w:val="00175F56"/>
    <w:rsid w:val="001763C3"/>
    <w:rsid w:val="001767C2"/>
    <w:rsid w:val="001779E0"/>
    <w:rsid w:val="00177C69"/>
    <w:rsid w:val="00177F71"/>
    <w:rsid w:val="00180AFB"/>
    <w:rsid w:val="00181228"/>
    <w:rsid w:val="001817A3"/>
    <w:rsid w:val="00182F70"/>
    <w:rsid w:val="00185CF8"/>
    <w:rsid w:val="00187962"/>
    <w:rsid w:val="00187A91"/>
    <w:rsid w:val="001917EA"/>
    <w:rsid w:val="00191E07"/>
    <w:rsid w:val="001927F7"/>
    <w:rsid w:val="001939E6"/>
    <w:rsid w:val="00194099"/>
    <w:rsid w:val="00194FFE"/>
    <w:rsid w:val="00196964"/>
    <w:rsid w:val="00196EE0"/>
    <w:rsid w:val="001A197B"/>
    <w:rsid w:val="001A2E7E"/>
    <w:rsid w:val="001A581E"/>
    <w:rsid w:val="001A5E82"/>
    <w:rsid w:val="001A6FC9"/>
    <w:rsid w:val="001B1280"/>
    <w:rsid w:val="001B15BF"/>
    <w:rsid w:val="001B25BA"/>
    <w:rsid w:val="001B29D2"/>
    <w:rsid w:val="001B563E"/>
    <w:rsid w:val="001B5817"/>
    <w:rsid w:val="001B5886"/>
    <w:rsid w:val="001B6842"/>
    <w:rsid w:val="001C5E8C"/>
    <w:rsid w:val="001C632A"/>
    <w:rsid w:val="001C68DF"/>
    <w:rsid w:val="001C7B21"/>
    <w:rsid w:val="001D3B87"/>
    <w:rsid w:val="001D3B9E"/>
    <w:rsid w:val="001D501F"/>
    <w:rsid w:val="001D5247"/>
    <w:rsid w:val="001E17D1"/>
    <w:rsid w:val="001E3402"/>
    <w:rsid w:val="001E4C7B"/>
    <w:rsid w:val="001E5327"/>
    <w:rsid w:val="001E5DB2"/>
    <w:rsid w:val="001E628B"/>
    <w:rsid w:val="001E7129"/>
    <w:rsid w:val="001F0379"/>
    <w:rsid w:val="001F10C4"/>
    <w:rsid w:val="001F14AE"/>
    <w:rsid w:val="001F1507"/>
    <w:rsid w:val="001F36ED"/>
    <w:rsid w:val="001F3875"/>
    <w:rsid w:val="001F63F4"/>
    <w:rsid w:val="001F66E7"/>
    <w:rsid w:val="001F6A0A"/>
    <w:rsid w:val="001F70AE"/>
    <w:rsid w:val="001F718A"/>
    <w:rsid w:val="002020D2"/>
    <w:rsid w:val="002035E1"/>
    <w:rsid w:val="00203877"/>
    <w:rsid w:val="00203B51"/>
    <w:rsid w:val="00203E15"/>
    <w:rsid w:val="00204E8C"/>
    <w:rsid w:val="00205C32"/>
    <w:rsid w:val="00206C47"/>
    <w:rsid w:val="00206C75"/>
    <w:rsid w:val="002106A2"/>
    <w:rsid w:val="00210F74"/>
    <w:rsid w:val="00211236"/>
    <w:rsid w:val="00211287"/>
    <w:rsid w:val="0021224A"/>
    <w:rsid w:val="00212820"/>
    <w:rsid w:val="00213228"/>
    <w:rsid w:val="00213A3B"/>
    <w:rsid w:val="00217E0C"/>
    <w:rsid w:val="00222D08"/>
    <w:rsid w:val="00223102"/>
    <w:rsid w:val="002239D2"/>
    <w:rsid w:val="00223F3D"/>
    <w:rsid w:val="00224625"/>
    <w:rsid w:val="002256D8"/>
    <w:rsid w:val="00225E8C"/>
    <w:rsid w:val="002265D2"/>
    <w:rsid w:val="00226684"/>
    <w:rsid w:val="00226770"/>
    <w:rsid w:val="00226A4B"/>
    <w:rsid w:val="002301C9"/>
    <w:rsid w:val="0023069A"/>
    <w:rsid w:val="00230A2C"/>
    <w:rsid w:val="00230B01"/>
    <w:rsid w:val="00230D91"/>
    <w:rsid w:val="00236361"/>
    <w:rsid w:val="002366B5"/>
    <w:rsid w:val="00236DE8"/>
    <w:rsid w:val="002378A3"/>
    <w:rsid w:val="00240761"/>
    <w:rsid w:val="002419A3"/>
    <w:rsid w:val="00241E28"/>
    <w:rsid w:val="00243382"/>
    <w:rsid w:val="002435E8"/>
    <w:rsid w:val="00244797"/>
    <w:rsid w:val="00244DE9"/>
    <w:rsid w:val="0024562D"/>
    <w:rsid w:val="002464E1"/>
    <w:rsid w:val="00250BB5"/>
    <w:rsid w:val="00251BCD"/>
    <w:rsid w:val="00251EC8"/>
    <w:rsid w:val="0025287C"/>
    <w:rsid w:val="00252D0D"/>
    <w:rsid w:val="00252F9F"/>
    <w:rsid w:val="00254394"/>
    <w:rsid w:val="00254C99"/>
    <w:rsid w:val="0025574B"/>
    <w:rsid w:val="00255B15"/>
    <w:rsid w:val="00256B4D"/>
    <w:rsid w:val="00263ED5"/>
    <w:rsid w:val="0026414C"/>
    <w:rsid w:val="0026474B"/>
    <w:rsid w:val="00265681"/>
    <w:rsid w:val="002658C0"/>
    <w:rsid w:val="00267173"/>
    <w:rsid w:val="00267579"/>
    <w:rsid w:val="00267C02"/>
    <w:rsid w:val="00267D49"/>
    <w:rsid w:val="002705DE"/>
    <w:rsid w:val="00270848"/>
    <w:rsid w:val="0027092E"/>
    <w:rsid w:val="0027249B"/>
    <w:rsid w:val="00274327"/>
    <w:rsid w:val="002749AA"/>
    <w:rsid w:val="00277491"/>
    <w:rsid w:val="00280978"/>
    <w:rsid w:val="002809D3"/>
    <w:rsid w:val="00280D1B"/>
    <w:rsid w:val="00281153"/>
    <w:rsid w:val="002818CB"/>
    <w:rsid w:val="002819B7"/>
    <w:rsid w:val="0028253D"/>
    <w:rsid w:val="00284E1D"/>
    <w:rsid w:val="00285EE6"/>
    <w:rsid w:val="00287CCD"/>
    <w:rsid w:val="002918FA"/>
    <w:rsid w:val="00291E1F"/>
    <w:rsid w:val="00292B3F"/>
    <w:rsid w:val="002941EF"/>
    <w:rsid w:val="002948C7"/>
    <w:rsid w:val="00294F84"/>
    <w:rsid w:val="0029553D"/>
    <w:rsid w:val="00295AE6"/>
    <w:rsid w:val="00296605"/>
    <w:rsid w:val="002A1A3B"/>
    <w:rsid w:val="002A1C0A"/>
    <w:rsid w:val="002A39C0"/>
    <w:rsid w:val="002A4700"/>
    <w:rsid w:val="002A6528"/>
    <w:rsid w:val="002A7BD9"/>
    <w:rsid w:val="002B1667"/>
    <w:rsid w:val="002B2215"/>
    <w:rsid w:val="002B3184"/>
    <w:rsid w:val="002B3996"/>
    <w:rsid w:val="002B39EA"/>
    <w:rsid w:val="002B60F4"/>
    <w:rsid w:val="002C2431"/>
    <w:rsid w:val="002C2470"/>
    <w:rsid w:val="002C259A"/>
    <w:rsid w:val="002C34E4"/>
    <w:rsid w:val="002C388B"/>
    <w:rsid w:val="002C664A"/>
    <w:rsid w:val="002C7D8D"/>
    <w:rsid w:val="002D11A8"/>
    <w:rsid w:val="002D254C"/>
    <w:rsid w:val="002D4909"/>
    <w:rsid w:val="002D4E35"/>
    <w:rsid w:val="002D53BE"/>
    <w:rsid w:val="002D6155"/>
    <w:rsid w:val="002D7181"/>
    <w:rsid w:val="002E023E"/>
    <w:rsid w:val="002E06ED"/>
    <w:rsid w:val="002E1286"/>
    <w:rsid w:val="002E2038"/>
    <w:rsid w:val="002E41A1"/>
    <w:rsid w:val="002E53A0"/>
    <w:rsid w:val="002E71FE"/>
    <w:rsid w:val="002F0925"/>
    <w:rsid w:val="002F142F"/>
    <w:rsid w:val="002F14AC"/>
    <w:rsid w:val="002F1BEC"/>
    <w:rsid w:val="002F2085"/>
    <w:rsid w:val="002F40BE"/>
    <w:rsid w:val="003010A4"/>
    <w:rsid w:val="0030185F"/>
    <w:rsid w:val="00301C58"/>
    <w:rsid w:val="003022DD"/>
    <w:rsid w:val="00302CF2"/>
    <w:rsid w:val="00304F1E"/>
    <w:rsid w:val="00305D90"/>
    <w:rsid w:val="0030633C"/>
    <w:rsid w:val="00311074"/>
    <w:rsid w:val="00311AF5"/>
    <w:rsid w:val="00311D30"/>
    <w:rsid w:val="003120BE"/>
    <w:rsid w:val="00313A9C"/>
    <w:rsid w:val="00314A13"/>
    <w:rsid w:val="003158B3"/>
    <w:rsid w:val="00315F53"/>
    <w:rsid w:val="00317229"/>
    <w:rsid w:val="00320C09"/>
    <w:rsid w:val="00320C99"/>
    <w:rsid w:val="00321169"/>
    <w:rsid w:val="00321292"/>
    <w:rsid w:val="003247D6"/>
    <w:rsid w:val="00324D4F"/>
    <w:rsid w:val="00325B3E"/>
    <w:rsid w:val="0033024A"/>
    <w:rsid w:val="00331249"/>
    <w:rsid w:val="00334072"/>
    <w:rsid w:val="00334765"/>
    <w:rsid w:val="0033659B"/>
    <w:rsid w:val="00336900"/>
    <w:rsid w:val="00336AAB"/>
    <w:rsid w:val="0033708E"/>
    <w:rsid w:val="003370BE"/>
    <w:rsid w:val="00337993"/>
    <w:rsid w:val="00340C5E"/>
    <w:rsid w:val="00341D9C"/>
    <w:rsid w:val="00342491"/>
    <w:rsid w:val="0034262A"/>
    <w:rsid w:val="00342FAB"/>
    <w:rsid w:val="0034460F"/>
    <w:rsid w:val="003446B4"/>
    <w:rsid w:val="003447D6"/>
    <w:rsid w:val="00344BA3"/>
    <w:rsid w:val="003472F4"/>
    <w:rsid w:val="00347B1A"/>
    <w:rsid w:val="00347B7E"/>
    <w:rsid w:val="003507BE"/>
    <w:rsid w:val="003508EE"/>
    <w:rsid w:val="00351878"/>
    <w:rsid w:val="003538E4"/>
    <w:rsid w:val="00353AD0"/>
    <w:rsid w:val="00353EA5"/>
    <w:rsid w:val="003556FD"/>
    <w:rsid w:val="00356A82"/>
    <w:rsid w:val="003571C5"/>
    <w:rsid w:val="00362ED7"/>
    <w:rsid w:val="00363673"/>
    <w:rsid w:val="003652BC"/>
    <w:rsid w:val="00366AC8"/>
    <w:rsid w:val="00366FFA"/>
    <w:rsid w:val="003709A6"/>
    <w:rsid w:val="003709EE"/>
    <w:rsid w:val="0037133E"/>
    <w:rsid w:val="0037221E"/>
    <w:rsid w:val="003723CF"/>
    <w:rsid w:val="00372848"/>
    <w:rsid w:val="00374D3C"/>
    <w:rsid w:val="0037513E"/>
    <w:rsid w:val="00375439"/>
    <w:rsid w:val="00375964"/>
    <w:rsid w:val="00377750"/>
    <w:rsid w:val="00377A7C"/>
    <w:rsid w:val="003803D7"/>
    <w:rsid w:val="003804D3"/>
    <w:rsid w:val="00381CA8"/>
    <w:rsid w:val="003827D7"/>
    <w:rsid w:val="00383B3E"/>
    <w:rsid w:val="00383E52"/>
    <w:rsid w:val="00385E18"/>
    <w:rsid w:val="003871EA"/>
    <w:rsid w:val="00387383"/>
    <w:rsid w:val="00387A19"/>
    <w:rsid w:val="0039057B"/>
    <w:rsid w:val="00390E76"/>
    <w:rsid w:val="003918B6"/>
    <w:rsid w:val="00391A21"/>
    <w:rsid w:val="00391C16"/>
    <w:rsid w:val="00392631"/>
    <w:rsid w:val="003934CA"/>
    <w:rsid w:val="0039380B"/>
    <w:rsid w:val="003938A4"/>
    <w:rsid w:val="00393F40"/>
    <w:rsid w:val="003A03AF"/>
    <w:rsid w:val="003A1D3E"/>
    <w:rsid w:val="003A2F40"/>
    <w:rsid w:val="003A3D03"/>
    <w:rsid w:val="003A570C"/>
    <w:rsid w:val="003A5B33"/>
    <w:rsid w:val="003A67F5"/>
    <w:rsid w:val="003A6904"/>
    <w:rsid w:val="003A70F8"/>
    <w:rsid w:val="003B471F"/>
    <w:rsid w:val="003B5D6C"/>
    <w:rsid w:val="003B6B94"/>
    <w:rsid w:val="003B71E5"/>
    <w:rsid w:val="003C00A6"/>
    <w:rsid w:val="003C1300"/>
    <w:rsid w:val="003C2A97"/>
    <w:rsid w:val="003C331E"/>
    <w:rsid w:val="003C38E4"/>
    <w:rsid w:val="003C391D"/>
    <w:rsid w:val="003C3FBE"/>
    <w:rsid w:val="003C4218"/>
    <w:rsid w:val="003C6685"/>
    <w:rsid w:val="003C6BE6"/>
    <w:rsid w:val="003C7A29"/>
    <w:rsid w:val="003D171E"/>
    <w:rsid w:val="003D1DB1"/>
    <w:rsid w:val="003D22BF"/>
    <w:rsid w:val="003D2931"/>
    <w:rsid w:val="003D2A30"/>
    <w:rsid w:val="003D2F7C"/>
    <w:rsid w:val="003D58DB"/>
    <w:rsid w:val="003D7D8D"/>
    <w:rsid w:val="003D7EE1"/>
    <w:rsid w:val="003E28C1"/>
    <w:rsid w:val="003E2BF1"/>
    <w:rsid w:val="003E3271"/>
    <w:rsid w:val="003E6EC4"/>
    <w:rsid w:val="003E6FBD"/>
    <w:rsid w:val="003E7FA5"/>
    <w:rsid w:val="003F05FC"/>
    <w:rsid w:val="003F1EBF"/>
    <w:rsid w:val="003F2351"/>
    <w:rsid w:val="003F2A08"/>
    <w:rsid w:val="003F3B03"/>
    <w:rsid w:val="003F4BFC"/>
    <w:rsid w:val="003F4ECE"/>
    <w:rsid w:val="0040080F"/>
    <w:rsid w:val="004009D1"/>
    <w:rsid w:val="004015C6"/>
    <w:rsid w:val="00401FC2"/>
    <w:rsid w:val="00403EF1"/>
    <w:rsid w:val="004045EB"/>
    <w:rsid w:val="0040460E"/>
    <w:rsid w:val="00405B91"/>
    <w:rsid w:val="004102F1"/>
    <w:rsid w:val="00411649"/>
    <w:rsid w:val="00411717"/>
    <w:rsid w:val="004118D9"/>
    <w:rsid w:val="00413CDC"/>
    <w:rsid w:val="0041416E"/>
    <w:rsid w:val="00414194"/>
    <w:rsid w:val="00414DB4"/>
    <w:rsid w:val="004152CC"/>
    <w:rsid w:val="004153ED"/>
    <w:rsid w:val="0041739B"/>
    <w:rsid w:val="00421389"/>
    <w:rsid w:val="004215EE"/>
    <w:rsid w:val="004218C7"/>
    <w:rsid w:val="004248AE"/>
    <w:rsid w:val="00425029"/>
    <w:rsid w:val="004278D9"/>
    <w:rsid w:val="004313DD"/>
    <w:rsid w:val="00431ABC"/>
    <w:rsid w:val="0043292D"/>
    <w:rsid w:val="004329C0"/>
    <w:rsid w:val="004409F4"/>
    <w:rsid w:val="004438E4"/>
    <w:rsid w:val="00444065"/>
    <w:rsid w:val="004446BB"/>
    <w:rsid w:val="00445F2A"/>
    <w:rsid w:val="00446B81"/>
    <w:rsid w:val="00450630"/>
    <w:rsid w:val="00450718"/>
    <w:rsid w:val="0045138D"/>
    <w:rsid w:val="0045213A"/>
    <w:rsid w:val="00452296"/>
    <w:rsid w:val="00453A09"/>
    <w:rsid w:val="00453DB5"/>
    <w:rsid w:val="00457062"/>
    <w:rsid w:val="00457539"/>
    <w:rsid w:val="0046167F"/>
    <w:rsid w:val="00462806"/>
    <w:rsid w:val="00462A8B"/>
    <w:rsid w:val="00462B62"/>
    <w:rsid w:val="00463933"/>
    <w:rsid w:val="00471A16"/>
    <w:rsid w:val="0047418B"/>
    <w:rsid w:val="00474B03"/>
    <w:rsid w:val="0047617E"/>
    <w:rsid w:val="00476C27"/>
    <w:rsid w:val="004806F7"/>
    <w:rsid w:val="004912B2"/>
    <w:rsid w:val="004942BD"/>
    <w:rsid w:val="00495D26"/>
    <w:rsid w:val="004964D2"/>
    <w:rsid w:val="004A05B7"/>
    <w:rsid w:val="004A2791"/>
    <w:rsid w:val="004A2B7C"/>
    <w:rsid w:val="004A3164"/>
    <w:rsid w:val="004A3F53"/>
    <w:rsid w:val="004A4C34"/>
    <w:rsid w:val="004A56EC"/>
    <w:rsid w:val="004A5A83"/>
    <w:rsid w:val="004A6532"/>
    <w:rsid w:val="004A754A"/>
    <w:rsid w:val="004B0434"/>
    <w:rsid w:val="004B100C"/>
    <w:rsid w:val="004B158F"/>
    <w:rsid w:val="004B236B"/>
    <w:rsid w:val="004B2F63"/>
    <w:rsid w:val="004B36E5"/>
    <w:rsid w:val="004B38A8"/>
    <w:rsid w:val="004B4D02"/>
    <w:rsid w:val="004B59E3"/>
    <w:rsid w:val="004B5E1D"/>
    <w:rsid w:val="004B5EB4"/>
    <w:rsid w:val="004B6065"/>
    <w:rsid w:val="004B780E"/>
    <w:rsid w:val="004B7E34"/>
    <w:rsid w:val="004C00FA"/>
    <w:rsid w:val="004C3069"/>
    <w:rsid w:val="004C379A"/>
    <w:rsid w:val="004C3850"/>
    <w:rsid w:val="004C44FF"/>
    <w:rsid w:val="004C5306"/>
    <w:rsid w:val="004C56FD"/>
    <w:rsid w:val="004C647D"/>
    <w:rsid w:val="004C6B94"/>
    <w:rsid w:val="004C7968"/>
    <w:rsid w:val="004D255D"/>
    <w:rsid w:val="004D3296"/>
    <w:rsid w:val="004D43DA"/>
    <w:rsid w:val="004D45C2"/>
    <w:rsid w:val="004D5831"/>
    <w:rsid w:val="004D5B61"/>
    <w:rsid w:val="004D6061"/>
    <w:rsid w:val="004D6C03"/>
    <w:rsid w:val="004D6C1D"/>
    <w:rsid w:val="004D6E1D"/>
    <w:rsid w:val="004D7F23"/>
    <w:rsid w:val="004E07F8"/>
    <w:rsid w:val="004E231E"/>
    <w:rsid w:val="004E2940"/>
    <w:rsid w:val="004E38C5"/>
    <w:rsid w:val="004E495D"/>
    <w:rsid w:val="004E4EAA"/>
    <w:rsid w:val="004F03AF"/>
    <w:rsid w:val="004F05B3"/>
    <w:rsid w:val="004F0E2C"/>
    <w:rsid w:val="004F153C"/>
    <w:rsid w:val="004F2D37"/>
    <w:rsid w:val="004F32B4"/>
    <w:rsid w:val="004F37EA"/>
    <w:rsid w:val="004F3A7B"/>
    <w:rsid w:val="004F54D8"/>
    <w:rsid w:val="004F6A0D"/>
    <w:rsid w:val="004F72D6"/>
    <w:rsid w:val="004F739D"/>
    <w:rsid w:val="00503C33"/>
    <w:rsid w:val="00507260"/>
    <w:rsid w:val="00507322"/>
    <w:rsid w:val="005109BB"/>
    <w:rsid w:val="00510B19"/>
    <w:rsid w:val="00511831"/>
    <w:rsid w:val="00511E9A"/>
    <w:rsid w:val="00511FB9"/>
    <w:rsid w:val="005133C6"/>
    <w:rsid w:val="00513F9B"/>
    <w:rsid w:val="0051424C"/>
    <w:rsid w:val="0051530E"/>
    <w:rsid w:val="00515CAE"/>
    <w:rsid w:val="0051645F"/>
    <w:rsid w:val="00516B95"/>
    <w:rsid w:val="00517ADF"/>
    <w:rsid w:val="00517C26"/>
    <w:rsid w:val="00517E2B"/>
    <w:rsid w:val="005202AA"/>
    <w:rsid w:val="00520D8A"/>
    <w:rsid w:val="00520DB5"/>
    <w:rsid w:val="00521F3B"/>
    <w:rsid w:val="00522117"/>
    <w:rsid w:val="0052468D"/>
    <w:rsid w:val="00524D1A"/>
    <w:rsid w:val="00525F5A"/>
    <w:rsid w:val="0052614D"/>
    <w:rsid w:val="00527FB6"/>
    <w:rsid w:val="005304ED"/>
    <w:rsid w:val="005330B0"/>
    <w:rsid w:val="00535170"/>
    <w:rsid w:val="005359E7"/>
    <w:rsid w:val="00536854"/>
    <w:rsid w:val="0054065E"/>
    <w:rsid w:val="005411D7"/>
    <w:rsid w:val="00542193"/>
    <w:rsid w:val="00542D3F"/>
    <w:rsid w:val="00543A22"/>
    <w:rsid w:val="005453BC"/>
    <w:rsid w:val="00545C39"/>
    <w:rsid w:val="00546311"/>
    <w:rsid w:val="005506B9"/>
    <w:rsid w:val="00552108"/>
    <w:rsid w:val="005534DE"/>
    <w:rsid w:val="0055493C"/>
    <w:rsid w:val="00555A7C"/>
    <w:rsid w:val="00556060"/>
    <w:rsid w:val="0055645E"/>
    <w:rsid w:val="00556BD0"/>
    <w:rsid w:val="00560081"/>
    <w:rsid w:val="005600ED"/>
    <w:rsid w:val="00560B56"/>
    <w:rsid w:val="00561BF8"/>
    <w:rsid w:val="00561CB2"/>
    <w:rsid w:val="00562772"/>
    <w:rsid w:val="005633A5"/>
    <w:rsid w:val="005648FF"/>
    <w:rsid w:val="00565443"/>
    <w:rsid w:val="0056601D"/>
    <w:rsid w:val="00566C2B"/>
    <w:rsid w:val="005709E0"/>
    <w:rsid w:val="00571281"/>
    <w:rsid w:val="0057185E"/>
    <w:rsid w:val="00571E03"/>
    <w:rsid w:val="005724A8"/>
    <w:rsid w:val="00572E72"/>
    <w:rsid w:val="00573330"/>
    <w:rsid w:val="00576C1A"/>
    <w:rsid w:val="0057730F"/>
    <w:rsid w:val="005803EE"/>
    <w:rsid w:val="00580891"/>
    <w:rsid w:val="00581579"/>
    <w:rsid w:val="0058163B"/>
    <w:rsid w:val="005818BF"/>
    <w:rsid w:val="00584E00"/>
    <w:rsid w:val="00585759"/>
    <w:rsid w:val="00590324"/>
    <w:rsid w:val="00590AF8"/>
    <w:rsid w:val="00591C62"/>
    <w:rsid w:val="00592471"/>
    <w:rsid w:val="00592A02"/>
    <w:rsid w:val="00592C15"/>
    <w:rsid w:val="00592F1D"/>
    <w:rsid w:val="00593517"/>
    <w:rsid w:val="005962B7"/>
    <w:rsid w:val="00597B7C"/>
    <w:rsid w:val="005A2875"/>
    <w:rsid w:val="005A36B0"/>
    <w:rsid w:val="005A3FB2"/>
    <w:rsid w:val="005A46F5"/>
    <w:rsid w:val="005A4EFD"/>
    <w:rsid w:val="005A5648"/>
    <w:rsid w:val="005A65ED"/>
    <w:rsid w:val="005A67FD"/>
    <w:rsid w:val="005A7653"/>
    <w:rsid w:val="005B13BB"/>
    <w:rsid w:val="005B1E14"/>
    <w:rsid w:val="005B2169"/>
    <w:rsid w:val="005B28F0"/>
    <w:rsid w:val="005B2D69"/>
    <w:rsid w:val="005B3882"/>
    <w:rsid w:val="005B5702"/>
    <w:rsid w:val="005B6BA5"/>
    <w:rsid w:val="005C0E6E"/>
    <w:rsid w:val="005C10AC"/>
    <w:rsid w:val="005C2D87"/>
    <w:rsid w:val="005C36EF"/>
    <w:rsid w:val="005C3CE3"/>
    <w:rsid w:val="005C4882"/>
    <w:rsid w:val="005C569C"/>
    <w:rsid w:val="005C5706"/>
    <w:rsid w:val="005C584E"/>
    <w:rsid w:val="005C5E90"/>
    <w:rsid w:val="005C6846"/>
    <w:rsid w:val="005C69F7"/>
    <w:rsid w:val="005C7479"/>
    <w:rsid w:val="005D086D"/>
    <w:rsid w:val="005D3104"/>
    <w:rsid w:val="005D39F8"/>
    <w:rsid w:val="005D3DEF"/>
    <w:rsid w:val="005D433C"/>
    <w:rsid w:val="005D45D2"/>
    <w:rsid w:val="005D4C97"/>
    <w:rsid w:val="005D6044"/>
    <w:rsid w:val="005D6780"/>
    <w:rsid w:val="005D715F"/>
    <w:rsid w:val="005D7401"/>
    <w:rsid w:val="005E1694"/>
    <w:rsid w:val="005E1D17"/>
    <w:rsid w:val="005E2FD3"/>
    <w:rsid w:val="005E42F2"/>
    <w:rsid w:val="005E4B96"/>
    <w:rsid w:val="005E6A0B"/>
    <w:rsid w:val="005E7ACA"/>
    <w:rsid w:val="005F007D"/>
    <w:rsid w:val="005F14CE"/>
    <w:rsid w:val="005F1869"/>
    <w:rsid w:val="005F51E6"/>
    <w:rsid w:val="005F6DE3"/>
    <w:rsid w:val="005F75DC"/>
    <w:rsid w:val="005F780D"/>
    <w:rsid w:val="00600D4B"/>
    <w:rsid w:val="00601052"/>
    <w:rsid w:val="00601F52"/>
    <w:rsid w:val="006027D7"/>
    <w:rsid w:val="00602856"/>
    <w:rsid w:val="006048DF"/>
    <w:rsid w:val="00605518"/>
    <w:rsid w:val="00606FFC"/>
    <w:rsid w:val="00607C7B"/>
    <w:rsid w:val="00607D25"/>
    <w:rsid w:val="00610B35"/>
    <w:rsid w:val="00611192"/>
    <w:rsid w:val="006128C9"/>
    <w:rsid w:val="00612DF3"/>
    <w:rsid w:val="00613987"/>
    <w:rsid w:val="00614715"/>
    <w:rsid w:val="00616BC2"/>
    <w:rsid w:val="00616F83"/>
    <w:rsid w:val="00617168"/>
    <w:rsid w:val="00617189"/>
    <w:rsid w:val="00617555"/>
    <w:rsid w:val="0062020F"/>
    <w:rsid w:val="00621463"/>
    <w:rsid w:val="00623E96"/>
    <w:rsid w:val="00625D9A"/>
    <w:rsid w:val="0062796F"/>
    <w:rsid w:val="00630A79"/>
    <w:rsid w:val="00631391"/>
    <w:rsid w:val="0063326E"/>
    <w:rsid w:val="00635EEB"/>
    <w:rsid w:val="006365E1"/>
    <w:rsid w:val="00636CDB"/>
    <w:rsid w:val="006376DD"/>
    <w:rsid w:val="00637DCB"/>
    <w:rsid w:val="006410EB"/>
    <w:rsid w:val="00643A4E"/>
    <w:rsid w:val="00643D5D"/>
    <w:rsid w:val="00644EC6"/>
    <w:rsid w:val="006451B6"/>
    <w:rsid w:val="00645857"/>
    <w:rsid w:val="0064663C"/>
    <w:rsid w:val="00647FFC"/>
    <w:rsid w:val="00650A11"/>
    <w:rsid w:val="00650F42"/>
    <w:rsid w:val="00652FD6"/>
    <w:rsid w:val="0065359A"/>
    <w:rsid w:val="00660EED"/>
    <w:rsid w:val="006618B8"/>
    <w:rsid w:val="006649E1"/>
    <w:rsid w:val="006655E9"/>
    <w:rsid w:val="00670B57"/>
    <w:rsid w:val="006714CE"/>
    <w:rsid w:val="00673773"/>
    <w:rsid w:val="00676A4B"/>
    <w:rsid w:val="00676A6B"/>
    <w:rsid w:val="00680AB0"/>
    <w:rsid w:val="00681462"/>
    <w:rsid w:val="00681B0C"/>
    <w:rsid w:val="00681DFD"/>
    <w:rsid w:val="00682488"/>
    <w:rsid w:val="0068362D"/>
    <w:rsid w:val="0068490B"/>
    <w:rsid w:val="006857AC"/>
    <w:rsid w:val="00686489"/>
    <w:rsid w:val="006875D7"/>
    <w:rsid w:val="00693D02"/>
    <w:rsid w:val="006940E3"/>
    <w:rsid w:val="00694E7E"/>
    <w:rsid w:val="00695123"/>
    <w:rsid w:val="006A0054"/>
    <w:rsid w:val="006A095E"/>
    <w:rsid w:val="006A1105"/>
    <w:rsid w:val="006A2898"/>
    <w:rsid w:val="006A2942"/>
    <w:rsid w:val="006A3B96"/>
    <w:rsid w:val="006A457C"/>
    <w:rsid w:val="006A60A4"/>
    <w:rsid w:val="006A6786"/>
    <w:rsid w:val="006A700D"/>
    <w:rsid w:val="006A729E"/>
    <w:rsid w:val="006A7ECD"/>
    <w:rsid w:val="006B07B1"/>
    <w:rsid w:val="006B2546"/>
    <w:rsid w:val="006B38AE"/>
    <w:rsid w:val="006B4D7B"/>
    <w:rsid w:val="006B4E57"/>
    <w:rsid w:val="006B4F1B"/>
    <w:rsid w:val="006B5D57"/>
    <w:rsid w:val="006B6A68"/>
    <w:rsid w:val="006B73EC"/>
    <w:rsid w:val="006B783C"/>
    <w:rsid w:val="006C15BE"/>
    <w:rsid w:val="006C1B3E"/>
    <w:rsid w:val="006C220E"/>
    <w:rsid w:val="006C2CC6"/>
    <w:rsid w:val="006C31FE"/>
    <w:rsid w:val="006C4462"/>
    <w:rsid w:val="006C47E8"/>
    <w:rsid w:val="006C4959"/>
    <w:rsid w:val="006C4AF9"/>
    <w:rsid w:val="006C6494"/>
    <w:rsid w:val="006C7415"/>
    <w:rsid w:val="006C7D70"/>
    <w:rsid w:val="006D0B9F"/>
    <w:rsid w:val="006D0D69"/>
    <w:rsid w:val="006D1BBA"/>
    <w:rsid w:val="006D609E"/>
    <w:rsid w:val="006D6670"/>
    <w:rsid w:val="006D6AF0"/>
    <w:rsid w:val="006D7CC8"/>
    <w:rsid w:val="006E02B6"/>
    <w:rsid w:val="006E1429"/>
    <w:rsid w:val="006E39C1"/>
    <w:rsid w:val="006E4492"/>
    <w:rsid w:val="006E555B"/>
    <w:rsid w:val="006E634E"/>
    <w:rsid w:val="006E7C8C"/>
    <w:rsid w:val="006E7CBB"/>
    <w:rsid w:val="006F0333"/>
    <w:rsid w:val="006F11FC"/>
    <w:rsid w:val="006F1922"/>
    <w:rsid w:val="006F389F"/>
    <w:rsid w:val="006F616E"/>
    <w:rsid w:val="006F738D"/>
    <w:rsid w:val="006F78F1"/>
    <w:rsid w:val="006F7AD5"/>
    <w:rsid w:val="00700395"/>
    <w:rsid w:val="00700A07"/>
    <w:rsid w:val="0070265A"/>
    <w:rsid w:val="007037AC"/>
    <w:rsid w:val="007051C9"/>
    <w:rsid w:val="00706433"/>
    <w:rsid w:val="00710173"/>
    <w:rsid w:val="00712EFB"/>
    <w:rsid w:val="0071352E"/>
    <w:rsid w:val="0071365E"/>
    <w:rsid w:val="0071421D"/>
    <w:rsid w:val="0071451F"/>
    <w:rsid w:val="00714EB5"/>
    <w:rsid w:val="007150A7"/>
    <w:rsid w:val="0071510D"/>
    <w:rsid w:val="00715410"/>
    <w:rsid w:val="0071543A"/>
    <w:rsid w:val="007156F6"/>
    <w:rsid w:val="00716C6A"/>
    <w:rsid w:val="00717FEF"/>
    <w:rsid w:val="00720D74"/>
    <w:rsid w:val="00720E67"/>
    <w:rsid w:val="00721A31"/>
    <w:rsid w:val="007241F3"/>
    <w:rsid w:val="00724CBB"/>
    <w:rsid w:val="00725AD9"/>
    <w:rsid w:val="00726411"/>
    <w:rsid w:val="00726E11"/>
    <w:rsid w:val="00727B28"/>
    <w:rsid w:val="0073028E"/>
    <w:rsid w:val="007304AF"/>
    <w:rsid w:val="00732628"/>
    <w:rsid w:val="00733FD1"/>
    <w:rsid w:val="007342C3"/>
    <w:rsid w:val="007345B0"/>
    <w:rsid w:val="00734890"/>
    <w:rsid w:val="0073540C"/>
    <w:rsid w:val="00735E50"/>
    <w:rsid w:val="007406BD"/>
    <w:rsid w:val="0074121F"/>
    <w:rsid w:val="0074314A"/>
    <w:rsid w:val="00743F17"/>
    <w:rsid w:val="00751004"/>
    <w:rsid w:val="00752771"/>
    <w:rsid w:val="007528B1"/>
    <w:rsid w:val="007540A1"/>
    <w:rsid w:val="00757114"/>
    <w:rsid w:val="00757648"/>
    <w:rsid w:val="00760C2D"/>
    <w:rsid w:val="00760C9A"/>
    <w:rsid w:val="00763C76"/>
    <w:rsid w:val="00764E0B"/>
    <w:rsid w:val="0076707D"/>
    <w:rsid w:val="00770579"/>
    <w:rsid w:val="007711D7"/>
    <w:rsid w:val="00771DB1"/>
    <w:rsid w:val="00772A44"/>
    <w:rsid w:val="007734EE"/>
    <w:rsid w:val="0077400F"/>
    <w:rsid w:val="007745D4"/>
    <w:rsid w:val="007755D7"/>
    <w:rsid w:val="007770E3"/>
    <w:rsid w:val="00780368"/>
    <w:rsid w:val="0078038F"/>
    <w:rsid w:val="00780AF6"/>
    <w:rsid w:val="00780FE0"/>
    <w:rsid w:val="0078294C"/>
    <w:rsid w:val="00783815"/>
    <w:rsid w:val="00785095"/>
    <w:rsid w:val="00785421"/>
    <w:rsid w:val="00790231"/>
    <w:rsid w:val="00790406"/>
    <w:rsid w:val="0079176B"/>
    <w:rsid w:val="0079424B"/>
    <w:rsid w:val="00794A9C"/>
    <w:rsid w:val="00794DF8"/>
    <w:rsid w:val="007955CD"/>
    <w:rsid w:val="00795AA0"/>
    <w:rsid w:val="00796AFC"/>
    <w:rsid w:val="00797515"/>
    <w:rsid w:val="00797B7B"/>
    <w:rsid w:val="007A0FEC"/>
    <w:rsid w:val="007A128E"/>
    <w:rsid w:val="007A18FB"/>
    <w:rsid w:val="007A3A4A"/>
    <w:rsid w:val="007A5649"/>
    <w:rsid w:val="007A7A55"/>
    <w:rsid w:val="007B0110"/>
    <w:rsid w:val="007B0123"/>
    <w:rsid w:val="007B0866"/>
    <w:rsid w:val="007B0B78"/>
    <w:rsid w:val="007B1704"/>
    <w:rsid w:val="007B2028"/>
    <w:rsid w:val="007B37EA"/>
    <w:rsid w:val="007B3EF9"/>
    <w:rsid w:val="007B43E2"/>
    <w:rsid w:val="007B5460"/>
    <w:rsid w:val="007B6059"/>
    <w:rsid w:val="007B6B41"/>
    <w:rsid w:val="007B7DB2"/>
    <w:rsid w:val="007C0B30"/>
    <w:rsid w:val="007C0C9B"/>
    <w:rsid w:val="007C1C0C"/>
    <w:rsid w:val="007C27F6"/>
    <w:rsid w:val="007C2EA2"/>
    <w:rsid w:val="007C50EE"/>
    <w:rsid w:val="007C548E"/>
    <w:rsid w:val="007C5FD0"/>
    <w:rsid w:val="007C6B1D"/>
    <w:rsid w:val="007D1744"/>
    <w:rsid w:val="007D240D"/>
    <w:rsid w:val="007D497B"/>
    <w:rsid w:val="007D5529"/>
    <w:rsid w:val="007D58D6"/>
    <w:rsid w:val="007D59CD"/>
    <w:rsid w:val="007D5AFD"/>
    <w:rsid w:val="007D5B26"/>
    <w:rsid w:val="007D65F4"/>
    <w:rsid w:val="007D7812"/>
    <w:rsid w:val="007D7B00"/>
    <w:rsid w:val="007E32FD"/>
    <w:rsid w:val="007E453E"/>
    <w:rsid w:val="007E50B1"/>
    <w:rsid w:val="007E5161"/>
    <w:rsid w:val="007E5BF3"/>
    <w:rsid w:val="007E6150"/>
    <w:rsid w:val="007F0A39"/>
    <w:rsid w:val="007F1A7B"/>
    <w:rsid w:val="007F1DE3"/>
    <w:rsid w:val="007F3184"/>
    <w:rsid w:val="007F4D89"/>
    <w:rsid w:val="007F5680"/>
    <w:rsid w:val="0080157F"/>
    <w:rsid w:val="00802229"/>
    <w:rsid w:val="00802264"/>
    <w:rsid w:val="00803975"/>
    <w:rsid w:val="00806A80"/>
    <w:rsid w:val="00811020"/>
    <w:rsid w:val="00814434"/>
    <w:rsid w:val="008144EB"/>
    <w:rsid w:val="00815C59"/>
    <w:rsid w:val="008177CA"/>
    <w:rsid w:val="00821D27"/>
    <w:rsid w:val="00821E3A"/>
    <w:rsid w:val="00822AEA"/>
    <w:rsid w:val="00822D7D"/>
    <w:rsid w:val="00826329"/>
    <w:rsid w:val="00826913"/>
    <w:rsid w:val="008312F8"/>
    <w:rsid w:val="00831560"/>
    <w:rsid w:val="00832058"/>
    <w:rsid w:val="00833276"/>
    <w:rsid w:val="00835ECC"/>
    <w:rsid w:val="008361BC"/>
    <w:rsid w:val="008365B9"/>
    <w:rsid w:val="00836D61"/>
    <w:rsid w:val="00836D67"/>
    <w:rsid w:val="0083721E"/>
    <w:rsid w:val="008373B3"/>
    <w:rsid w:val="00840909"/>
    <w:rsid w:val="00840EC3"/>
    <w:rsid w:val="008435AC"/>
    <w:rsid w:val="008436BB"/>
    <w:rsid w:val="00843DB4"/>
    <w:rsid w:val="00844B6C"/>
    <w:rsid w:val="00845589"/>
    <w:rsid w:val="00846A3F"/>
    <w:rsid w:val="0084709E"/>
    <w:rsid w:val="00847C71"/>
    <w:rsid w:val="00851A7F"/>
    <w:rsid w:val="00852B3C"/>
    <w:rsid w:val="008530FE"/>
    <w:rsid w:val="00854667"/>
    <w:rsid w:val="008551D2"/>
    <w:rsid w:val="008553E5"/>
    <w:rsid w:val="008556AE"/>
    <w:rsid w:val="00855E0D"/>
    <w:rsid w:val="0086079D"/>
    <w:rsid w:val="00863666"/>
    <w:rsid w:val="008636A2"/>
    <w:rsid w:val="00863CD4"/>
    <w:rsid w:val="008649A7"/>
    <w:rsid w:val="00865D4F"/>
    <w:rsid w:val="0086678B"/>
    <w:rsid w:val="00871252"/>
    <w:rsid w:val="00871872"/>
    <w:rsid w:val="008736AB"/>
    <w:rsid w:val="00873B28"/>
    <w:rsid w:val="00873DF9"/>
    <w:rsid w:val="008765B6"/>
    <w:rsid w:val="0087703A"/>
    <w:rsid w:val="00877AA5"/>
    <w:rsid w:val="00880CA7"/>
    <w:rsid w:val="008827AB"/>
    <w:rsid w:val="00885A91"/>
    <w:rsid w:val="00886B4E"/>
    <w:rsid w:val="008874DB"/>
    <w:rsid w:val="00890D0B"/>
    <w:rsid w:val="00891A79"/>
    <w:rsid w:val="00891B12"/>
    <w:rsid w:val="00892209"/>
    <w:rsid w:val="008935A6"/>
    <w:rsid w:val="00893812"/>
    <w:rsid w:val="00894326"/>
    <w:rsid w:val="008957C3"/>
    <w:rsid w:val="0089604F"/>
    <w:rsid w:val="00896657"/>
    <w:rsid w:val="00897957"/>
    <w:rsid w:val="008A0740"/>
    <w:rsid w:val="008A0952"/>
    <w:rsid w:val="008A1503"/>
    <w:rsid w:val="008A1D6A"/>
    <w:rsid w:val="008A1F23"/>
    <w:rsid w:val="008A2F1E"/>
    <w:rsid w:val="008A3B27"/>
    <w:rsid w:val="008A4069"/>
    <w:rsid w:val="008A48FC"/>
    <w:rsid w:val="008A4EE9"/>
    <w:rsid w:val="008A5272"/>
    <w:rsid w:val="008A5CEA"/>
    <w:rsid w:val="008A6975"/>
    <w:rsid w:val="008B0E96"/>
    <w:rsid w:val="008B322B"/>
    <w:rsid w:val="008B4057"/>
    <w:rsid w:val="008B6119"/>
    <w:rsid w:val="008B79CA"/>
    <w:rsid w:val="008C0C41"/>
    <w:rsid w:val="008C1023"/>
    <w:rsid w:val="008C140F"/>
    <w:rsid w:val="008C2372"/>
    <w:rsid w:val="008C2804"/>
    <w:rsid w:val="008C3C55"/>
    <w:rsid w:val="008C5750"/>
    <w:rsid w:val="008C5D49"/>
    <w:rsid w:val="008C67EF"/>
    <w:rsid w:val="008C691A"/>
    <w:rsid w:val="008C727A"/>
    <w:rsid w:val="008D0321"/>
    <w:rsid w:val="008D093A"/>
    <w:rsid w:val="008D1261"/>
    <w:rsid w:val="008D1B57"/>
    <w:rsid w:val="008D2E58"/>
    <w:rsid w:val="008D33C9"/>
    <w:rsid w:val="008D39D9"/>
    <w:rsid w:val="008D39E5"/>
    <w:rsid w:val="008D3E42"/>
    <w:rsid w:val="008D4873"/>
    <w:rsid w:val="008D571B"/>
    <w:rsid w:val="008D7465"/>
    <w:rsid w:val="008E0B8E"/>
    <w:rsid w:val="008E1FEE"/>
    <w:rsid w:val="008E3531"/>
    <w:rsid w:val="008E567E"/>
    <w:rsid w:val="008E6CBD"/>
    <w:rsid w:val="008E7471"/>
    <w:rsid w:val="008E7A5F"/>
    <w:rsid w:val="008F087D"/>
    <w:rsid w:val="008F0F5E"/>
    <w:rsid w:val="008F1A3B"/>
    <w:rsid w:val="008F218D"/>
    <w:rsid w:val="008F2219"/>
    <w:rsid w:val="008F5586"/>
    <w:rsid w:val="008F7316"/>
    <w:rsid w:val="008F773C"/>
    <w:rsid w:val="00901DF7"/>
    <w:rsid w:val="00902A7A"/>
    <w:rsid w:val="009031D1"/>
    <w:rsid w:val="0090323C"/>
    <w:rsid w:val="00904C6F"/>
    <w:rsid w:val="009050FC"/>
    <w:rsid w:val="009057CF"/>
    <w:rsid w:val="00905F83"/>
    <w:rsid w:val="00905FF6"/>
    <w:rsid w:val="00906DDE"/>
    <w:rsid w:val="00910387"/>
    <w:rsid w:val="0091125E"/>
    <w:rsid w:val="00911335"/>
    <w:rsid w:val="009119B5"/>
    <w:rsid w:val="009128EB"/>
    <w:rsid w:val="00912E5F"/>
    <w:rsid w:val="009138DD"/>
    <w:rsid w:val="00915142"/>
    <w:rsid w:val="009157D4"/>
    <w:rsid w:val="00915998"/>
    <w:rsid w:val="00916829"/>
    <w:rsid w:val="0091689C"/>
    <w:rsid w:val="00920A6A"/>
    <w:rsid w:val="0092165F"/>
    <w:rsid w:val="00921678"/>
    <w:rsid w:val="00922613"/>
    <w:rsid w:val="009247E7"/>
    <w:rsid w:val="00924E7E"/>
    <w:rsid w:val="0093049E"/>
    <w:rsid w:val="009304BC"/>
    <w:rsid w:val="00930753"/>
    <w:rsid w:val="009325EE"/>
    <w:rsid w:val="009347A9"/>
    <w:rsid w:val="009358F5"/>
    <w:rsid w:val="00935F1E"/>
    <w:rsid w:val="00937513"/>
    <w:rsid w:val="00937AFD"/>
    <w:rsid w:val="009415C7"/>
    <w:rsid w:val="00941BB0"/>
    <w:rsid w:val="00943676"/>
    <w:rsid w:val="00944419"/>
    <w:rsid w:val="009455DA"/>
    <w:rsid w:val="00945F19"/>
    <w:rsid w:val="00946056"/>
    <w:rsid w:val="00946383"/>
    <w:rsid w:val="00947B0D"/>
    <w:rsid w:val="00953157"/>
    <w:rsid w:val="00953458"/>
    <w:rsid w:val="00956FB0"/>
    <w:rsid w:val="009570E3"/>
    <w:rsid w:val="00957910"/>
    <w:rsid w:val="00961216"/>
    <w:rsid w:val="00964988"/>
    <w:rsid w:val="00965489"/>
    <w:rsid w:val="009667EC"/>
    <w:rsid w:val="00966BDB"/>
    <w:rsid w:val="00966DE0"/>
    <w:rsid w:val="00967426"/>
    <w:rsid w:val="009702DF"/>
    <w:rsid w:val="0097088E"/>
    <w:rsid w:val="00971D0B"/>
    <w:rsid w:val="00972A52"/>
    <w:rsid w:val="009741E6"/>
    <w:rsid w:val="00974EAF"/>
    <w:rsid w:val="00974FEE"/>
    <w:rsid w:val="00975210"/>
    <w:rsid w:val="009759BC"/>
    <w:rsid w:val="00975FF1"/>
    <w:rsid w:val="009767F9"/>
    <w:rsid w:val="009806B9"/>
    <w:rsid w:val="00981E8B"/>
    <w:rsid w:val="00982689"/>
    <w:rsid w:val="00983B97"/>
    <w:rsid w:val="00985361"/>
    <w:rsid w:val="00985B56"/>
    <w:rsid w:val="00985F2A"/>
    <w:rsid w:val="00986228"/>
    <w:rsid w:val="00986350"/>
    <w:rsid w:val="009864BD"/>
    <w:rsid w:val="00992388"/>
    <w:rsid w:val="0099471A"/>
    <w:rsid w:val="00994C17"/>
    <w:rsid w:val="009969EE"/>
    <w:rsid w:val="00997C25"/>
    <w:rsid w:val="009A0253"/>
    <w:rsid w:val="009A127A"/>
    <w:rsid w:val="009A1286"/>
    <w:rsid w:val="009A438D"/>
    <w:rsid w:val="009A47EE"/>
    <w:rsid w:val="009A4D7A"/>
    <w:rsid w:val="009A51A3"/>
    <w:rsid w:val="009A66F2"/>
    <w:rsid w:val="009B1F8D"/>
    <w:rsid w:val="009B2370"/>
    <w:rsid w:val="009B2805"/>
    <w:rsid w:val="009B32F1"/>
    <w:rsid w:val="009B3919"/>
    <w:rsid w:val="009B6108"/>
    <w:rsid w:val="009B6EBC"/>
    <w:rsid w:val="009C3779"/>
    <w:rsid w:val="009C3E5C"/>
    <w:rsid w:val="009C6592"/>
    <w:rsid w:val="009C7D55"/>
    <w:rsid w:val="009D0730"/>
    <w:rsid w:val="009D0DDE"/>
    <w:rsid w:val="009D350E"/>
    <w:rsid w:val="009D4600"/>
    <w:rsid w:val="009D4CB8"/>
    <w:rsid w:val="009D6F32"/>
    <w:rsid w:val="009E092F"/>
    <w:rsid w:val="009E0DDA"/>
    <w:rsid w:val="009E6BFE"/>
    <w:rsid w:val="009F08EE"/>
    <w:rsid w:val="009F1D8B"/>
    <w:rsid w:val="009F3AE7"/>
    <w:rsid w:val="009F4463"/>
    <w:rsid w:val="009F4777"/>
    <w:rsid w:val="009F4BD2"/>
    <w:rsid w:val="009F67D2"/>
    <w:rsid w:val="009F7EAC"/>
    <w:rsid w:val="00A00630"/>
    <w:rsid w:val="00A00C32"/>
    <w:rsid w:val="00A0133D"/>
    <w:rsid w:val="00A02A57"/>
    <w:rsid w:val="00A04B86"/>
    <w:rsid w:val="00A04C11"/>
    <w:rsid w:val="00A04CD5"/>
    <w:rsid w:val="00A04EE1"/>
    <w:rsid w:val="00A054A4"/>
    <w:rsid w:val="00A112CD"/>
    <w:rsid w:val="00A1321B"/>
    <w:rsid w:val="00A206F7"/>
    <w:rsid w:val="00A20D68"/>
    <w:rsid w:val="00A21F15"/>
    <w:rsid w:val="00A23526"/>
    <w:rsid w:val="00A23A7B"/>
    <w:rsid w:val="00A24495"/>
    <w:rsid w:val="00A24656"/>
    <w:rsid w:val="00A27490"/>
    <w:rsid w:val="00A306BD"/>
    <w:rsid w:val="00A31FB3"/>
    <w:rsid w:val="00A32001"/>
    <w:rsid w:val="00A332A1"/>
    <w:rsid w:val="00A34504"/>
    <w:rsid w:val="00A34B11"/>
    <w:rsid w:val="00A3523E"/>
    <w:rsid w:val="00A36128"/>
    <w:rsid w:val="00A36C6E"/>
    <w:rsid w:val="00A37C29"/>
    <w:rsid w:val="00A4158A"/>
    <w:rsid w:val="00A41E22"/>
    <w:rsid w:val="00A41FCB"/>
    <w:rsid w:val="00A420CE"/>
    <w:rsid w:val="00A42264"/>
    <w:rsid w:val="00A42299"/>
    <w:rsid w:val="00A45EEA"/>
    <w:rsid w:val="00A46881"/>
    <w:rsid w:val="00A473A1"/>
    <w:rsid w:val="00A502BC"/>
    <w:rsid w:val="00A511E8"/>
    <w:rsid w:val="00A51BAF"/>
    <w:rsid w:val="00A521E0"/>
    <w:rsid w:val="00A53E13"/>
    <w:rsid w:val="00A54CA6"/>
    <w:rsid w:val="00A55104"/>
    <w:rsid w:val="00A55D7C"/>
    <w:rsid w:val="00A56D57"/>
    <w:rsid w:val="00A57BD5"/>
    <w:rsid w:val="00A6044C"/>
    <w:rsid w:val="00A6068C"/>
    <w:rsid w:val="00A60A93"/>
    <w:rsid w:val="00A6133F"/>
    <w:rsid w:val="00A61D0E"/>
    <w:rsid w:val="00A620AF"/>
    <w:rsid w:val="00A64A36"/>
    <w:rsid w:val="00A65B10"/>
    <w:rsid w:val="00A67BB5"/>
    <w:rsid w:val="00A7279A"/>
    <w:rsid w:val="00A72BA0"/>
    <w:rsid w:val="00A73456"/>
    <w:rsid w:val="00A73581"/>
    <w:rsid w:val="00A736DB"/>
    <w:rsid w:val="00A73A05"/>
    <w:rsid w:val="00A7482D"/>
    <w:rsid w:val="00A74B5D"/>
    <w:rsid w:val="00A74C42"/>
    <w:rsid w:val="00A75306"/>
    <w:rsid w:val="00A75BF2"/>
    <w:rsid w:val="00A75D7F"/>
    <w:rsid w:val="00A76996"/>
    <w:rsid w:val="00A76B04"/>
    <w:rsid w:val="00A77EDA"/>
    <w:rsid w:val="00A809A4"/>
    <w:rsid w:val="00A814A4"/>
    <w:rsid w:val="00A81A8F"/>
    <w:rsid w:val="00A820AD"/>
    <w:rsid w:val="00A84733"/>
    <w:rsid w:val="00A84AC3"/>
    <w:rsid w:val="00A8527C"/>
    <w:rsid w:val="00A922DB"/>
    <w:rsid w:val="00A925C2"/>
    <w:rsid w:val="00A93F08"/>
    <w:rsid w:val="00A95CF2"/>
    <w:rsid w:val="00A963F2"/>
    <w:rsid w:val="00A96C62"/>
    <w:rsid w:val="00AA2947"/>
    <w:rsid w:val="00AA2CCD"/>
    <w:rsid w:val="00AA2DB9"/>
    <w:rsid w:val="00AA4030"/>
    <w:rsid w:val="00AA46C8"/>
    <w:rsid w:val="00AA51C8"/>
    <w:rsid w:val="00AA5785"/>
    <w:rsid w:val="00AB15CD"/>
    <w:rsid w:val="00AB16F4"/>
    <w:rsid w:val="00AB2DE6"/>
    <w:rsid w:val="00AB330E"/>
    <w:rsid w:val="00AB35F2"/>
    <w:rsid w:val="00AB3E0C"/>
    <w:rsid w:val="00AB4B7F"/>
    <w:rsid w:val="00AB6253"/>
    <w:rsid w:val="00AB7E97"/>
    <w:rsid w:val="00AC0161"/>
    <w:rsid w:val="00AC0A49"/>
    <w:rsid w:val="00AC1CB8"/>
    <w:rsid w:val="00AC2320"/>
    <w:rsid w:val="00AC2729"/>
    <w:rsid w:val="00AC4B8D"/>
    <w:rsid w:val="00AC5CFA"/>
    <w:rsid w:val="00AC6820"/>
    <w:rsid w:val="00AC6A13"/>
    <w:rsid w:val="00AC6EDA"/>
    <w:rsid w:val="00AD00A4"/>
    <w:rsid w:val="00AD01B6"/>
    <w:rsid w:val="00AD4030"/>
    <w:rsid w:val="00AD7062"/>
    <w:rsid w:val="00AD71C1"/>
    <w:rsid w:val="00AD75CF"/>
    <w:rsid w:val="00AD7A65"/>
    <w:rsid w:val="00AE16C3"/>
    <w:rsid w:val="00AE180C"/>
    <w:rsid w:val="00AE1D3C"/>
    <w:rsid w:val="00AE3DDD"/>
    <w:rsid w:val="00AE426C"/>
    <w:rsid w:val="00AE4A2D"/>
    <w:rsid w:val="00AE5DDC"/>
    <w:rsid w:val="00AE6CF7"/>
    <w:rsid w:val="00AE79DD"/>
    <w:rsid w:val="00AF459F"/>
    <w:rsid w:val="00AF4EA4"/>
    <w:rsid w:val="00AF5362"/>
    <w:rsid w:val="00AF5500"/>
    <w:rsid w:val="00AF649C"/>
    <w:rsid w:val="00AF72BF"/>
    <w:rsid w:val="00B00AF2"/>
    <w:rsid w:val="00B01390"/>
    <w:rsid w:val="00B01F5B"/>
    <w:rsid w:val="00B025D1"/>
    <w:rsid w:val="00B026D5"/>
    <w:rsid w:val="00B02F02"/>
    <w:rsid w:val="00B03E1D"/>
    <w:rsid w:val="00B0469E"/>
    <w:rsid w:val="00B05628"/>
    <w:rsid w:val="00B06275"/>
    <w:rsid w:val="00B07DF6"/>
    <w:rsid w:val="00B10B43"/>
    <w:rsid w:val="00B1230A"/>
    <w:rsid w:val="00B12886"/>
    <w:rsid w:val="00B12E34"/>
    <w:rsid w:val="00B13E6F"/>
    <w:rsid w:val="00B14A23"/>
    <w:rsid w:val="00B15037"/>
    <w:rsid w:val="00B15527"/>
    <w:rsid w:val="00B15D4E"/>
    <w:rsid w:val="00B15E2A"/>
    <w:rsid w:val="00B17071"/>
    <w:rsid w:val="00B170D1"/>
    <w:rsid w:val="00B17819"/>
    <w:rsid w:val="00B17A74"/>
    <w:rsid w:val="00B21469"/>
    <w:rsid w:val="00B23247"/>
    <w:rsid w:val="00B23F78"/>
    <w:rsid w:val="00B2581C"/>
    <w:rsid w:val="00B27C71"/>
    <w:rsid w:val="00B31E57"/>
    <w:rsid w:val="00B3226C"/>
    <w:rsid w:val="00B32C1E"/>
    <w:rsid w:val="00B339FA"/>
    <w:rsid w:val="00B341C3"/>
    <w:rsid w:val="00B354FE"/>
    <w:rsid w:val="00B36D0E"/>
    <w:rsid w:val="00B37167"/>
    <w:rsid w:val="00B4129F"/>
    <w:rsid w:val="00B41380"/>
    <w:rsid w:val="00B41E81"/>
    <w:rsid w:val="00B4276C"/>
    <w:rsid w:val="00B43DC3"/>
    <w:rsid w:val="00B458C5"/>
    <w:rsid w:val="00B45D08"/>
    <w:rsid w:val="00B46023"/>
    <w:rsid w:val="00B47980"/>
    <w:rsid w:val="00B50BD7"/>
    <w:rsid w:val="00B50BFD"/>
    <w:rsid w:val="00B51095"/>
    <w:rsid w:val="00B522F5"/>
    <w:rsid w:val="00B53BD0"/>
    <w:rsid w:val="00B5523A"/>
    <w:rsid w:val="00B5621F"/>
    <w:rsid w:val="00B57F76"/>
    <w:rsid w:val="00B601FD"/>
    <w:rsid w:val="00B60608"/>
    <w:rsid w:val="00B61A10"/>
    <w:rsid w:val="00B62D95"/>
    <w:rsid w:val="00B630C6"/>
    <w:rsid w:val="00B63E54"/>
    <w:rsid w:val="00B64050"/>
    <w:rsid w:val="00B648A8"/>
    <w:rsid w:val="00B64FDC"/>
    <w:rsid w:val="00B65D2C"/>
    <w:rsid w:val="00B65E08"/>
    <w:rsid w:val="00B66334"/>
    <w:rsid w:val="00B66377"/>
    <w:rsid w:val="00B66470"/>
    <w:rsid w:val="00B6747B"/>
    <w:rsid w:val="00B70C93"/>
    <w:rsid w:val="00B7350D"/>
    <w:rsid w:val="00B74852"/>
    <w:rsid w:val="00B74947"/>
    <w:rsid w:val="00B751CE"/>
    <w:rsid w:val="00B753B5"/>
    <w:rsid w:val="00B7647D"/>
    <w:rsid w:val="00B765DA"/>
    <w:rsid w:val="00B7676C"/>
    <w:rsid w:val="00B767AD"/>
    <w:rsid w:val="00B76FB1"/>
    <w:rsid w:val="00B77D3E"/>
    <w:rsid w:val="00B800A2"/>
    <w:rsid w:val="00B80692"/>
    <w:rsid w:val="00B8206A"/>
    <w:rsid w:val="00B82792"/>
    <w:rsid w:val="00B84E7D"/>
    <w:rsid w:val="00B87F4A"/>
    <w:rsid w:val="00B90ABC"/>
    <w:rsid w:val="00B90BA3"/>
    <w:rsid w:val="00B91DDE"/>
    <w:rsid w:val="00B93BCC"/>
    <w:rsid w:val="00B946C0"/>
    <w:rsid w:val="00B947E8"/>
    <w:rsid w:val="00B96D88"/>
    <w:rsid w:val="00BA26DC"/>
    <w:rsid w:val="00BA3A4E"/>
    <w:rsid w:val="00BA4E95"/>
    <w:rsid w:val="00BA5025"/>
    <w:rsid w:val="00BA52E0"/>
    <w:rsid w:val="00BA61BC"/>
    <w:rsid w:val="00BA62CE"/>
    <w:rsid w:val="00BA787E"/>
    <w:rsid w:val="00BA78C6"/>
    <w:rsid w:val="00BA7963"/>
    <w:rsid w:val="00BB1823"/>
    <w:rsid w:val="00BB7690"/>
    <w:rsid w:val="00BC09CD"/>
    <w:rsid w:val="00BC100F"/>
    <w:rsid w:val="00BC313F"/>
    <w:rsid w:val="00BC50B6"/>
    <w:rsid w:val="00BC5A9C"/>
    <w:rsid w:val="00BC6311"/>
    <w:rsid w:val="00BC6813"/>
    <w:rsid w:val="00BC6BEB"/>
    <w:rsid w:val="00BD04B0"/>
    <w:rsid w:val="00BD0F44"/>
    <w:rsid w:val="00BD53F7"/>
    <w:rsid w:val="00BD65FB"/>
    <w:rsid w:val="00BE256E"/>
    <w:rsid w:val="00BE2595"/>
    <w:rsid w:val="00BE2D47"/>
    <w:rsid w:val="00BE3092"/>
    <w:rsid w:val="00BE3609"/>
    <w:rsid w:val="00BE395B"/>
    <w:rsid w:val="00BE5948"/>
    <w:rsid w:val="00BF11E5"/>
    <w:rsid w:val="00BF1277"/>
    <w:rsid w:val="00BF325A"/>
    <w:rsid w:val="00BF3B9E"/>
    <w:rsid w:val="00BF46BD"/>
    <w:rsid w:val="00BF54BF"/>
    <w:rsid w:val="00BF6A39"/>
    <w:rsid w:val="00C003D5"/>
    <w:rsid w:val="00C01307"/>
    <w:rsid w:val="00C047CF"/>
    <w:rsid w:val="00C06073"/>
    <w:rsid w:val="00C06D76"/>
    <w:rsid w:val="00C10D9C"/>
    <w:rsid w:val="00C110DD"/>
    <w:rsid w:val="00C12095"/>
    <w:rsid w:val="00C12C21"/>
    <w:rsid w:val="00C13515"/>
    <w:rsid w:val="00C1368C"/>
    <w:rsid w:val="00C1416A"/>
    <w:rsid w:val="00C1459C"/>
    <w:rsid w:val="00C14C19"/>
    <w:rsid w:val="00C14D26"/>
    <w:rsid w:val="00C1701A"/>
    <w:rsid w:val="00C172DC"/>
    <w:rsid w:val="00C20830"/>
    <w:rsid w:val="00C20DA6"/>
    <w:rsid w:val="00C222FA"/>
    <w:rsid w:val="00C23607"/>
    <w:rsid w:val="00C24D0B"/>
    <w:rsid w:val="00C25044"/>
    <w:rsid w:val="00C25822"/>
    <w:rsid w:val="00C273D4"/>
    <w:rsid w:val="00C30302"/>
    <w:rsid w:val="00C305FB"/>
    <w:rsid w:val="00C33A43"/>
    <w:rsid w:val="00C3428D"/>
    <w:rsid w:val="00C34C20"/>
    <w:rsid w:val="00C35265"/>
    <w:rsid w:val="00C35BC5"/>
    <w:rsid w:val="00C40106"/>
    <w:rsid w:val="00C40539"/>
    <w:rsid w:val="00C40B52"/>
    <w:rsid w:val="00C412F2"/>
    <w:rsid w:val="00C44D61"/>
    <w:rsid w:val="00C475D5"/>
    <w:rsid w:val="00C500BC"/>
    <w:rsid w:val="00C50E4C"/>
    <w:rsid w:val="00C515B5"/>
    <w:rsid w:val="00C5223C"/>
    <w:rsid w:val="00C52A65"/>
    <w:rsid w:val="00C52DFA"/>
    <w:rsid w:val="00C53120"/>
    <w:rsid w:val="00C5318E"/>
    <w:rsid w:val="00C53CC8"/>
    <w:rsid w:val="00C54F56"/>
    <w:rsid w:val="00C54FC9"/>
    <w:rsid w:val="00C56704"/>
    <w:rsid w:val="00C57693"/>
    <w:rsid w:val="00C57C11"/>
    <w:rsid w:val="00C57DC8"/>
    <w:rsid w:val="00C62ED5"/>
    <w:rsid w:val="00C63845"/>
    <w:rsid w:val="00C63F2F"/>
    <w:rsid w:val="00C65F24"/>
    <w:rsid w:val="00C667C3"/>
    <w:rsid w:val="00C66D58"/>
    <w:rsid w:val="00C67033"/>
    <w:rsid w:val="00C678A6"/>
    <w:rsid w:val="00C70C58"/>
    <w:rsid w:val="00C71DF4"/>
    <w:rsid w:val="00C72370"/>
    <w:rsid w:val="00C72E7D"/>
    <w:rsid w:val="00C76651"/>
    <w:rsid w:val="00C76A0B"/>
    <w:rsid w:val="00C77163"/>
    <w:rsid w:val="00C775E4"/>
    <w:rsid w:val="00C86B5D"/>
    <w:rsid w:val="00C87CAD"/>
    <w:rsid w:val="00C91D91"/>
    <w:rsid w:val="00C926CF"/>
    <w:rsid w:val="00C934C5"/>
    <w:rsid w:val="00C94A95"/>
    <w:rsid w:val="00C95068"/>
    <w:rsid w:val="00C951A1"/>
    <w:rsid w:val="00C95DD4"/>
    <w:rsid w:val="00C96056"/>
    <w:rsid w:val="00C9608D"/>
    <w:rsid w:val="00C96315"/>
    <w:rsid w:val="00C96B19"/>
    <w:rsid w:val="00C96E21"/>
    <w:rsid w:val="00CA062B"/>
    <w:rsid w:val="00CA0D1F"/>
    <w:rsid w:val="00CA182C"/>
    <w:rsid w:val="00CA29EF"/>
    <w:rsid w:val="00CA47D6"/>
    <w:rsid w:val="00CA47FB"/>
    <w:rsid w:val="00CA5E29"/>
    <w:rsid w:val="00CA67EA"/>
    <w:rsid w:val="00CA6C26"/>
    <w:rsid w:val="00CA75AE"/>
    <w:rsid w:val="00CA7A2A"/>
    <w:rsid w:val="00CA7E0D"/>
    <w:rsid w:val="00CB0A45"/>
    <w:rsid w:val="00CB1420"/>
    <w:rsid w:val="00CB1C7A"/>
    <w:rsid w:val="00CB2DD4"/>
    <w:rsid w:val="00CB31BA"/>
    <w:rsid w:val="00CB47CF"/>
    <w:rsid w:val="00CB5878"/>
    <w:rsid w:val="00CB5B02"/>
    <w:rsid w:val="00CB74DD"/>
    <w:rsid w:val="00CB788E"/>
    <w:rsid w:val="00CC0098"/>
    <w:rsid w:val="00CC0A4F"/>
    <w:rsid w:val="00CC139D"/>
    <w:rsid w:val="00CC1CAF"/>
    <w:rsid w:val="00CC4460"/>
    <w:rsid w:val="00CC4B99"/>
    <w:rsid w:val="00CC4CF9"/>
    <w:rsid w:val="00CC54A2"/>
    <w:rsid w:val="00CC54E2"/>
    <w:rsid w:val="00CC63AA"/>
    <w:rsid w:val="00CC6BB0"/>
    <w:rsid w:val="00CC7DB9"/>
    <w:rsid w:val="00CD016A"/>
    <w:rsid w:val="00CD1198"/>
    <w:rsid w:val="00CD13ED"/>
    <w:rsid w:val="00CD2445"/>
    <w:rsid w:val="00CD4BED"/>
    <w:rsid w:val="00CE04E5"/>
    <w:rsid w:val="00CE221A"/>
    <w:rsid w:val="00CE2459"/>
    <w:rsid w:val="00CE2ADC"/>
    <w:rsid w:val="00CE3755"/>
    <w:rsid w:val="00CE4951"/>
    <w:rsid w:val="00CE4A1F"/>
    <w:rsid w:val="00CE5E52"/>
    <w:rsid w:val="00CE63DE"/>
    <w:rsid w:val="00CE646A"/>
    <w:rsid w:val="00CE652C"/>
    <w:rsid w:val="00CE7CE9"/>
    <w:rsid w:val="00CF00BF"/>
    <w:rsid w:val="00CF0F8A"/>
    <w:rsid w:val="00CF3D4E"/>
    <w:rsid w:val="00CF3DA8"/>
    <w:rsid w:val="00CF424B"/>
    <w:rsid w:val="00CF43C4"/>
    <w:rsid w:val="00CF4BC2"/>
    <w:rsid w:val="00CF58C9"/>
    <w:rsid w:val="00CF5C30"/>
    <w:rsid w:val="00CF6003"/>
    <w:rsid w:val="00D0085B"/>
    <w:rsid w:val="00D0418C"/>
    <w:rsid w:val="00D04956"/>
    <w:rsid w:val="00D04D7C"/>
    <w:rsid w:val="00D07A5D"/>
    <w:rsid w:val="00D139B5"/>
    <w:rsid w:val="00D13A16"/>
    <w:rsid w:val="00D13C17"/>
    <w:rsid w:val="00D1495D"/>
    <w:rsid w:val="00D1591A"/>
    <w:rsid w:val="00D161DF"/>
    <w:rsid w:val="00D17D4F"/>
    <w:rsid w:val="00D200F8"/>
    <w:rsid w:val="00D217DF"/>
    <w:rsid w:val="00D243D6"/>
    <w:rsid w:val="00D248FA"/>
    <w:rsid w:val="00D251E9"/>
    <w:rsid w:val="00D25C88"/>
    <w:rsid w:val="00D3022A"/>
    <w:rsid w:val="00D30814"/>
    <w:rsid w:val="00D3158B"/>
    <w:rsid w:val="00D32D19"/>
    <w:rsid w:val="00D32F5C"/>
    <w:rsid w:val="00D347FA"/>
    <w:rsid w:val="00D34F96"/>
    <w:rsid w:val="00D36AC3"/>
    <w:rsid w:val="00D402AC"/>
    <w:rsid w:val="00D40B63"/>
    <w:rsid w:val="00D40E04"/>
    <w:rsid w:val="00D416E5"/>
    <w:rsid w:val="00D45FDE"/>
    <w:rsid w:val="00D46A85"/>
    <w:rsid w:val="00D46BAC"/>
    <w:rsid w:val="00D46FB3"/>
    <w:rsid w:val="00D47BAA"/>
    <w:rsid w:val="00D506BA"/>
    <w:rsid w:val="00D52279"/>
    <w:rsid w:val="00D52E34"/>
    <w:rsid w:val="00D548D3"/>
    <w:rsid w:val="00D54CA0"/>
    <w:rsid w:val="00D5644C"/>
    <w:rsid w:val="00D57DA6"/>
    <w:rsid w:val="00D60432"/>
    <w:rsid w:val="00D60933"/>
    <w:rsid w:val="00D60C3F"/>
    <w:rsid w:val="00D61770"/>
    <w:rsid w:val="00D620D7"/>
    <w:rsid w:val="00D62369"/>
    <w:rsid w:val="00D63237"/>
    <w:rsid w:val="00D63403"/>
    <w:rsid w:val="00D652CF"/>
    <w:rsid w:val="00D67C6B"/>
    <w:rsid w:val="00D73522"/>
    <w:rsid w:val="00D755B6"/>
    <w:rsid w:val="00D75D98"/>
    <w:rsid w:val="00D75EC7"/>
    <w:rsid w:val="00D76324"/>
    <w:rsid w:val="00D7667F"/>
    <w:rsid w:val="00D76930"/>
    <w:rsid w:val="00D815EE"/>
    <w:rsid w:val="00D83FAC"/>
    <w:rsid w:val="00D84658"/>
    <w:rsid w:val="00D8492A"/>
    <w:rsid w:val="00D865BC"/>
    <w:rsid w:val="00D866FD"/>
    <w:rsid w:val="00D8726D"/>
    <w:rsid w:val="00D8764F"/>
    <w:rsid w:val="00D92B1A"/>
    <w:rsid w:val="00D93504"/>
    <w:rsid w:val="00D959BF"/>
    <w:rsid w:val="00D95A77"/>
    <w:rsid w:val="00D963CD"/>
    <w:rsid w:val="00D96E79"/>
    <w:rsid w:val="00D97F12"/>
    <w:rsid w:val="00DA09D5"/>
    <w:rsid w:val="00DA24E7"/>
    <w:rsid w:val="00DA3160"/>
    <w:rsid w:val="00DA6E15"/>
    <w:rsid w:val="00DB0ED7"/>
    <w:rsid w:val="00DB1071"/>
    <w:rsid w:val="00DB2030"/>
    <w:rsid w:val="00DB234C"/>
    <w:rsid w:val="00DB2585"/>
    <w:rsid w:val="00DB321B"/>
    <w:rsid w:val="00DB43FE"/>
    <w:rsid w:val="00DB5A5A"/>
    <w:rsid w:val="00DB5B53"/>
    <w:rsid w:val="00DB621E"/>
    <w:rsid w:val="00DB654A"/>
    <w:rsid w:val="00DB7B78"/>
    <w:rsid w:val="00DC1DB4"/>
    <w:rsid w:val="00DC3342"/>
    <w:rsid w:val="00DC39F5"/>
    <w:rsid w:val="00DC483F"/>
    <w:rsid w:val="00DD17CC"/>
    <w:rsid w:val="00DD1B7B"/>
    <w:rsid w:val="00DD26FF"/>
    <w:rsid w:val="00DD3221"/>
    <w:rsid w:val="00DD4EAD"/>
    <w:rsid w:val="00DD63D1"/>
    <w:rsid w:val="00DD7DDE"/>
    <w:rsid w:val="00DE0842"/>
    <w:rsid w:val="00DE0DB3"/>
    <w:rsid w:val="00DE4596"/>
    <w:rsid w:val="00DE4A5D"/>
    <w:rsid w:val="00DE5D7B"/>
    <w:rsid w:val="00DE640F"/>
    <w:rsid w:val="00DE66F1"/>
    <w:rsid w:val="00DE6BF2"/>
    <w:rsid w:val="00DE747B"/>
    <w:rsid w:val="00DF09E2"/>
    <w:rsid w:val="00DF3229"/>
    <w:rsid w:val="00DF444E"/>
    <w:rsid w:val="00DF4684"/>
    <w:rsid w:val="00DF4CD2"/>
    <w:rsid w:val="00DF7E85"/>
    <w:rsid w:val="00E00292"/>
    <w:rsid w:val="00E00C79"/>
    <w:rsid w:val="00E038A0"/>
    <w:rsid w:val="00E04089"/>
    <w:rsid w:val="00E04EC8"/>
    <w:rsid w:val="00E04F01"/>
    <w:rsid w:val="00E065CD"/>
    <w:rsid w:val="00E072D4"/>
    <w:rsid w:val="00E10E32"/>
    <w:rsid w:val="00E13078"/>
    <w:rsid w:val="00E1450E"/>
    <w:rsid w:val="00E155A9"/>
    <w:rsid w:val="00E164A2"/>
    <w:rsid w:val="00E16AC7"/>
    <w:rsid w:val="00E207C2"/>
    <w:rsid w:val="00E229FB"/>
    <w:rsid w:val="00E24E56"/>
    <w:rsid w:val="00E24F77"/>
    <w:rsid w:val="00E25F2F"/>
    <w:rsid w:val="00E26F4E"/>
    <w:rsid w:val="00E27134"/>
    <w:rsid w:val="00E319D7"/>
    <w:rsid w:val="00E32437"/>
    <w:rsid w:val="00E32AAB"/>
    <w:rsid w:val="00E3373F"/>
    <w:rsid w:val="00E33749"/>
    <w:rsid w:val="00E36270"/>
    <w:rsid w:val="00E36459"/>
    <w:rsid w:val="00E42485"/>
    <w:rsid w:val="00E431A5"/>
    <w:rsid w:val="00E434EB"/>
    <w:rsid w:val="00E43761"/>
    <w:rsid w:val="00E453E7"/>
    <w:rsid w:val="00E45B14"/>
    <w:rsid w:val="00E4648F"/>
    <w:rsid w:val="00E4652E"/>
    <w:rsid w:val="00E46804"/>
    <w:rsid w:val="00E50380"/>
    <w:rsid w:val="00E503A8"/>
    <w:rsid w:val="00E528C1"/>
    <w:rsid w:val="00E528EB"/>
    <w:rsid w:val="00E53A00"/>
    <w:rsid w:val="00E53AD4"/>
    <w:rsid w:val="00E53E36"/>
    <w:rsid w:val="00E5494D"/>
    <w:rsid w:val="00E54AAA"/>
    <w:rsid w:val="00E54BFF"/>
    <w:rsid w:val="00E56978"/>
    <w:rsid w:val="00E57281"/>
    <w:rsid w:val="00E62E4B"/>
    <w:rsid w:val="00E63D91"/>
    <w:rsid w:val="00E63F21"/>
    <w:rsid w:val="00E64939"/>
    <w:rsid w:val="00E6607A"/>
    <w:rsid w:val="00E66720"/>
    <w:rsid w:val="00E7038C"/>
    <w:rsid w:val="00E70FBE"/>
    <w:rsid w:val="00E71B39"/>
    <w:rsid w:val="00E71BE8"/>
    <w:rsid w:val="00E71CB8"/>
    <w:rsid w:val="00E73989"/>
    <w:rsid w:val="00E73D4A"/>
    <w:rsid w:val="00E7552F"/>
    <w:rsid w:val="00E758BE"/>
    <w:rsid w:val="00E7712F"/>
    <w:rsid w:val="00E8063E"/>
    <w:rsid w:val="00E807FF"/>
    <w:rsid w:val="00E80AFC"/>
    <w:rsid w:val="00E8643B"/>
    <w:rsid w:val="00E8783E"/>
    <w:rsid w:val="00E8789B"/>
    <w:rsid w:val="00E90743"/>
    <w:rsid w:val="00E90C32"/>
    <w:rsid w:val="00E90CB8"/>
    <w:rsid w:val="00E90FC1"/>
    <w:rsid w:val="00E91931"/>
    <w:rsid w:val="00E919F7"/>
    <w:rsid w:val="00E9295E"/>
    <w:rsid w:val="00E92C73"/>
    <w:rsid w:val="00E9322C"/>
    <w:rsid w:val="00E937A4"/>
    <w:rsid w:val="00E942CF"/>
    <w:rsid w:val="00E94606"/>
    <w:rsid w:val="00E94822"/>
    <w:rsid w:val="00E9564E"/>
    <w:rsid w:val="00E96781"/>
    <w:rsid w:val="00E9761C"/>
    <w:rsid w:val="00E9764E"/>
    <w:rsid w:val="00EA01A2"/>
    <w:rsid w:val="00EA0D9F"/>
    <w:rsid w:val="00EA11EB"/>
    <w:rsid w:val="00EA3443"/>
    <w:rsid w:val="00EB09A0"/>
    <w:rsid w:val="00EB1764"/>
    <w:rsid w:val="00EB2857"/>
    <w:rsid w:val="00EB4703"/>
    <w:rsid w:val="00EC05B1"/>
    <w:rsid w:val="00EC0789"/>
    <w:rsid w:val="00EC1984"/>
    <w:rsid w:val="00EC19D4"/>
    <w:rsid w:val="00EC1BF9"/>
    <w:rsid w:val="00EC292D"/>
    <w:rsid w:val="00EC2F77"/>
    <w:rsid w:val="00EC3A22"/>
    <w:rsid w:val="00EC4DD1"/>
    <w:rsid w:val="00EC4E60"/>
    <w:rsid w:val="00EC68A6"/>
    <w:rsid w:val="00EC7260"/>
    <w:rsid w:val="00ED0318"/>
    <w:rsid w:val="00ED1613"/>
    <w:rsid w:val="00ED245E"/>
    <w:rsid w:val="00ED2E24"/>
    <w:rsid w:val="00ED39BC"/>
    <w:rsid w:val="00ED5119"/>
    <w:rsid w:val="00ED63C3"/>
    <w:rsid w:val="00ED6FB0"/>
    <w:rsid w:val="00EE0D22"/>
    <w:rsid w:val="00EE2017"/>
    <w:rsid w:val="00EE35C4"/>
    <w:rsid w:val="00EE42F5"/>
    <w:rsid w:val="00EE55A8"/>
    <w:rsid w:val="00EE6BCB"/>
    <w:rsid w:val="00EE7301"/>
    <w:rsid w:val="00EF25F5"/>
    <w:rsid w:val="00EF3BD9"/>
    <w:rsid w:val="00EF4D15"/>
    <w:rsid w:val="00EF5994"/>
    <w:rsid w:val="00EF5C3E"/>
    <w:rsid w:val="00EF68DA"/>
    <w:rsid w:val="00EF6DE8"/>
    <w:rsid w:val="00F02799"/>
    <w:rsid w:val="00F03C49"/>
    <w:rsid w:val="00F067F8"/>
    <w:rsid w:val="00F07AD3"/>
    <w:rsid w:val="00F10F9F"/>
    <w:rsid w:val="00F1110B"/>
    <w:rsid w:val="00F113AD"/>
    <w:rsid w:val="00F11A52"/>
    <w:rsid w:val="00F11F21"/>
    <w:rsid w:val="00F131F6"/>
    <w:rsid w:val="00F14DF3"/>
    <w:rsid w:val="00F15A44"/>
    <w:rsid w:val="00F15CCD"/>
    <w:rsid w:val="00F2195B"/>
    <w:rsid w:val="00F21D71"/>
    <w:rsid w:val="00F21EB1"/>
    <w:rsid w:val="00F224B8"/>
    <w:rsid w:val="00F24490"/>
    <w:rsid w:val="00F25879"/>
    <w:rsid w:val="00F25C57"/>
    <w:rsid w:val="00F267D0"/>
    <w:rsid w:val="00F27D89"/>
    <w:rsid w:val="00F3369E"/>
    <w:rsid w:val="00F33DB4"/>
    <w:rsid w:val="00F36958"/>
    <w:rsid w:val="00F40026"/>
    <w:rsid w:val="00F41597"/>
    <w:rsid w:val="00F41624"/>
    <w:rsid w:val="00F41767"/>
    <w:rsid w:val="00F42D19"/>
    <w:rsid w:val="00F42DB2"/>
    <w:rsid w:val="00F458D2"/>
    <w:rsid w:val="00F46979"/>
    <w:rsid w:val="00F476AE"/>
    <w:rsid w:val="00F501BB"/>
    <w:rsid w:val="00F5257F"/>
    <w:rsid w:val="00F53306"/>
    <w:rsid w:val="00F53DE4"/>
    <w:rsid w:val="00F54327"/>
    <w:rsid w:val="00F54DC8"/>
    <w:rsid w:val="00F54E34"/>
    <w:rsid w:val="00F5508A"/>
    <w:rsid w:val="00F55E6A"/>
    <w:rsid w:val="00F5644F"/>
    <w:rsid w:val="00F56795"/>
    <w:rsid w:val="00F57281"/>
    <w:rsid w:val="00F6148C"/>
    <w:rsid w:val="00F63AE0"/>
    <w:rsid w:val="00F647AB"/>
    <w:rsid w:val="00F65CFE"/>
    <w:rsid w:val="00F66098"/>
    <w:rsid w:val="00F67C61"/>
    <w:rsid w:val="00F70838"/>
    <w:rsid w:val="00F71664"/>
    <w:rsid w:val="00F73245"/>
    <w:rsid w:val="00F74A2F"/>
    <w:rsid w:val="00F75658"/>
    <w:rsid w:val="00F75937"/>
    <w:rsid w:val="00F779D1"/>
    <w:rsid w:val="00F8025C"/>
    <w:rsid w:val="00F8431B"/>
    <w:rsid w:val="00F864E0"/>
    <w:rsid w:val="00F874CA"/>
    <w:rsid w:val="00F9000F"/>
    <w:rsid w:val="00F90A19"/>
    <w:rsid w:val="00F912B3"/>
    <w:rsid w:val="00F91991"/>
    <w:rsid w:val="00F91C07"/>
    <w:rsid w:val="00F937AA"/>
    <w:rsid w:val="00F94053"/>
    <w:rsid w:val="00F968D6"/>
    <w:rsid w:val="00F97858"/>
    <w:rsid w:val="00F97A23"/>
    <w:rsid w:val="00FA7976"/>
    <w:rsid w:val="00FB1DF7"/>
    <w:rsid w:val="00FB2191"/>
    <w:rsid w:val="00FB2877"/>
    <w:rsid w:val="00FB3554"/>
    <w:rsid w:val="00FB3971"/>
    <w:rsid w:val="00FB4310"/>
    <w:rsid w:val="00FB4EDD"/>
    <w:rsid w:val="00FB5208"/>
    <w:rsid w:val="00FB584C"/>
    <w:rsid w:val="00FC04A2"/>
    <w:rsid w:val="00FC124E"/>
    <w:rsid w:val="00FC1CE9"/>
    <w:rsid w:val="00FC2C7A"/>
    <w:rsid w:val="00FC2DCA"/>
    <w:rsid w:val="00FC3019"/>
    <w:rsid w:val="00FC5D3D"/>
    <w:rsid w:val="00FC6A7A"/>
    <w:rsid w:val="00FC6DFC"/>
    <w:rsid w:val="00FC711B"/>
    <w:rsid w:val="00FD044D"/>
    <w:rsid w:val="00FD0781"/>
    <w:rsid w:val="00FD1895"/>
    <w:rsid w:val="00FD1B1A"/>
    <w:rsid w:val="00FD1DC0"/>
    <w:rsid w:val="00FD228E"/>
    <w:rsid w:val="00FD269E"/>
    <w:rsid w:val="00FD2FD6"/>
    <w:rsid w:val="00FD6178"/>
    <w:rsid w:val="00FD7A77"/>
    <w:rsid w:val="00FE0751"/>
    <w:rsid w:val="00FE14E5"/>
    <w:rsid w:val="00FE14FE"/>
    <w:rsid w:val="00FE1A62"/>
    <w:rsid w:val="00FE1BD4"/>
    <w:rsid w:val="00FE472D"/>
    <w:rsid w:val="00FE55B1"/>
    <w:rsid w:val="00FE754F"/>
    <w:rsid w:val="00FF1772"/>
    <w:rsid w:val="00FF1821"/>
    <w:rsid w:val="00FF1E91"/>
    <w:rsid w:val="00FF28A9"/>
    <w:rsid w:val="00FF30A5"/>
    <w:rsid w:val="00FF37D7"/>
    <w:rsid w:val="00FF3834"/>
    <w:rsid w:val="00FF3B4F"/>
    <w:rsid w:val="00FF44F5"/>
    <w:rsid w:val="00FF62C0"/>
    <w:rsid w:val="00FF77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iPriority="9" w:unhideWhenUsed="0" w:qFormat="1"/>
    <w:lsdException w:name="index 1" w:uiPriority="99"/>
    <w:lsdException w:name="toc 1" w:qFormat="1"/>
    <w:lsdException w:name="toc 2" w:qFormat="1"/>
    <w:lsdException w:name="footnote text" w:uiPriority="99"/>
    <w:lsdException w:name="caption" w:qFormat="1"/>
    <w:lsdException w:name="footnote reference" w:uiPriority="99"/>
    <w:lsdException w:name="table of authorities" w:uiPriority="99"/>
    <w:lsdException w:name="macro" w:uiPriority="99"/>
    <w:lsdException w:name="toa heading" w:uiPriority="99"/>
    <w:lsdException w:name="List 2" w:uiPriority="99"/>
    <w:lsdException w:name="Title" w:semiHidden="0" w:uiPriority="99" w:unhideWhenUsed="0" w:qFormat="1"/>
    <w:lsdException w:name="Default Paragraph Font" w:uiPriority="1"/>
    <w:lsdException w:name="Subtitle" w:semiHidden="0" w:unhideWhenUsed="0" w:qFormat="1"/>
    <w:lsdException w:name="Body Text Indent 3" w:uiPriority="99"/>
    <w:lsdException w:name="FollowedHyperlink" w:uiPriority="99"/>
    <w:lsdException w:name="Strong" w:semiHidden="0" w:unhideWhenUsed="0" w:qFormat="1"/>
    <w:lsdException w:name="Emphasis" w:semiHidden="0" w:uiPriority="20" w:unhideWhenUsed="0" w:qFormat="1"/>
    <w:lsdException w:name="Document Map" w:uiPriority="99"/>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uiPriority w:val="9"/>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1">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uiPriority w:val="9"/>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uiPriority w:val="99"/>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uiPriority w:val="99"/>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d">
    <w:name w:val="Название2"/>
    <w:basedOn w:val="af5"/>
    <w:pPr>
      <w:suppressLineNumbers/>
      <w:spacing w:before="120" w:after="120"/>
    </w:pPr>
    <w:rPr>
      <w:rFonts w:cs="Times New Roman CYR"/>
      <w:i/>
      <w:iCs/>
    </w:rPr>
  </w:style>
  <w:style w:type="paragraph" w:customStyle="1" w:styleId="2fe">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uiPriority w:val="99"/>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0">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1">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qFormat/>
    <w:pPr>
      <w:widowControl w:val="0"/>
      <w:numPr>
        <w:numId w:val="0"/>
      </w:numPr>
      <w:spacing w:line="360" w:lineRule="auto"/>
      <w:ind w:firstLine="567"/>
      <w:jc w:val="both"/>
    </w:pPr>
  </w:style>
  <w:style w:type="paragraph" w:customStyle="1" w:styleId="2ff2">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5"/>
    <w:rPr>
      <w:sz w:val="20"/>
      <w:szCs w:val="20"/>
    </w:rPr>
  </w:style>
  <w:style w:type="paragraph" w:styleId="afffffffff9">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3"/>
  </w:style>
  <w:style w:type="paragraph" w:customStyle="1" w:styleId="146">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b">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7">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d">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e">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0">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1">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2">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3">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5">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6">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7">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3"/>
    <w:next w:val="2ff3"/>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8">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a">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b">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8">
    <w:name w:val="14Полуторный"/>
    <w:basedOn w:val="af5"/>
    <w:pPr>
      <w:spacing w:line="360" w:lineRule="auto"/>
      <w:ind w:firstLine="709"/>
      <w:jc w:val="both"/>
    </w:pPr>
    <w:rPr>
      <w:sz w:val="28"/>
      <w:szCs w:val="28"/>
      <w:lang w:val="uk-UA"/>
    </w:rPr>
  </w:style>
  <w:style w:type="paragraph" w:customStyle="1" w:styleId="2fffc">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0">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1">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2">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3"/>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6">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a">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uiPriority w:val="9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5"/>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9">
    <w:name w:val="Body Text 2"/>
    <w:basedOn w:val="af5"/>
    <w:link w:val="225"/>
    <w:unhideWhenUsed/>
    <w:rsid w:val="00524D1A"/>
    <w:pPr>
      <w:spacing w:after="120" w:line="480" w:lineRule="auto"/>
    </w:pPr>
  </w:style>
  <w:style w:type="character" w:customStyle="1" w:styleId="225">
    <w:name w:val="Основной текст 2 Знак2"/>
    <w:basedOn w:val="af6"/>
    <w:link w:val="2ffff9"/>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uiPriority w:val="99"/>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uiPriority w:val="99"/>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a">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5"/>
    <w:uiPriority w:val="99"/>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0">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1">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5"/>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5"/>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5"/>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d">
    <w:name w:val="Body Text First Indent 2"/>
    <w:basedOn w:val="affffffffc"/>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0"/>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a">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3">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a">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6">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c">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7">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0"/>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0"/>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8">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BodyText25">
    <w:name w:val="Body Text 2"/>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 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iPriority="9" w:unhideWhenUsed="0" w:qFormat="1"/>
    <w:lsdException w:name="index 1" w:uiPriority="99"/>
    <w:lsdException w:name="toc 1" w:qFormat="1"/>
    <w:lsdException w:name="toc 2" w:qFormat="1"/>
    <w:lsdException w:name="footnote text" w:uiPriority="99"/>
    <w:lsdException w:name="caption" w:qFormat="1"/>
    <w:lsdException w:name="footnote reference" w:uiPriority="99"/>
    <w:lsdException w:name="table of authorities" w:uiPriority="99"/>
    <w:lsdException w:name="macro" w:uiPriority="99"/>
    <w:lsdException w:name="toa heading" w:uiPriority="99"/>
    <w:lsdException w:name="List 2" w:uiPriority="99"/>
    <w:lsdException w:name="Title" w:semiHidden="0" w:uiPriority="99" w:unhideWhenUsed="0" w:qFormat="1"/>
    <w:lsdException w:name="Default Paragraph Font" w:uiPriority="1"/>
    <w:lsdException w:name="Subtitle" w:semiHidden="0" w:unhideWhenUsed="0" w:qFormat="1"/>
    <w:lsdException w:name="Body Text Indent 3" w:uiPriority="99"/>
    <w:lsdException w:name="FollowedHyperlink" w:uiPriority="99"/>
    <w:lsdException w:name="Strong" w:semiHidden="0" w:unhideWhenUsed="0" w:qFormat="1"/>
    <w:lsdException w:name="Emphasis" w:semiHidden="0" w:uiPriority="20" w:unhideWhenUsed="0" w:qFormat="1"/>
    <w:lsdException w:name="Document Map" w:uiPriority="99"/>
    <w:lsdException w:name="E-mail Signature" w:uiPriority="99"/>
    <w:lsdException w:name="HTML Code" w:uiPriority="99"/>
    <w:lsdException w:name="HTML Definition" w:uiPriority="99"/>
    <w:lsdException w:name="HTML Keyboard" w:uiPriority="99"/>
    <w:lsdException w:name="HTML Variable" w:uiPriority="99"/>
    <w:lsdException w:name="Normal Table" w:uiPriority="99"/>
    <w:lsdException w:name="No List" w:uiPriority="99"/>
    <w:lsdException w:name="Outline List 2"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iPriority="9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0">
    <w:name w:val="heading 2"/>
    <w:aliases w:val="Заголовок 2 (AndЯe),Подраздел Знак,М0, Знак15"/>
    <w:basedOn w:val="af5"/>
    <w:next w:val="af5"/>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uiPriority w:val="9"/>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1">
    <w:name w:val="Заголовок 2 Знак"/>
    <w:aliases w:val="Подраздел Знак Знак,Заголовок 2 Знак Знак Знак Знак, Знак15 Знак"/>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2">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uiPriority w:val="9"/>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3">
    <w:name w:val="Основной текст с отступом 2 Знак"/>
    <w:link w:val="24"/>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uiPriority w:val="99"/>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5">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rPr>
      <w:b/>
      <w:bCs/>
    </w:rPr>
  </w:style>
  <w:style w:type="character" w:customStyle="1" w:styleId="affd">
    <w:name w:val="знак сноски"/>
    <w:rPr>
      <w:vertAlign w:val="superscript"/>
    </w:rPr>
  </w:style>
  <w:style w:type="character" w:customStyle="1" w:styleId="affe">
    <w:name w:val="Название Знак"/>
    <w:aliases w:val=" Знак5 Знак"/>
    <w:uiPriority w:val="99"/>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6">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7">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8">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9">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a">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b">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c">
    <w:name w:val="Красная строка 2 Знак"/>
    <w:link w:val="2d"/>
    <w:rPr>
      <w:sz w:val="24"/>
      <w:szCs w:val="24"/>
    </w:rPr>
  </w:style>
  <w:style w:type="character" w:customStyle="1" w:styleId="2e">
    <w:name w:val="Червоний рядок 2 Знак"/>
    <w:rPr>
      <w:rFonts w:ascii="Garamond" w:eastAsia="Garamond" w:hAnsi="Garamond" w:cs="Garamond"/>
      <w:sz w:val="24"/>
      <w:szCs w:val="24"/>
      <w:lang w:val="ru-RU"/>
    </w:rPr>
  </w:style>
  <w:style w:type="character" w:customStyle="1" w:styleId="2f">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0">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0">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1">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uiPriority w:val="99"/>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uiPriority w:val="99"/>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2">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3">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4">
    <w:name w:val="Оглавление (2)_"/>
    <w:rPr>
      <w:i/>
      <w:iCs/>
      <w:sz w:val="17"/>
      <w:szCs w:val="17"/>
      <w:shd w:val="clear" w:color="auto" w:fill="FFFFFF"/>
    </w:rPr>
  </w:style>
  <w:style w:type="character" w:customStyle="1" w:styleId="2f5">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6">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7">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8">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9">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1">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a">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b">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c">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2">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d">
    <w:name w:val="Название2"/>
    <w:basedOn w:val="af5"/>
    <w:pPr>
      <w:suppressLineNumbers/>
      <w:spacing w:before="120" w:after="120"/>
    </w:pPr>
    <w:rPr>
      <w:rFonts w:cs="Times New Roman CYR"/>
      <w:i/>
      <w:iCs/>
    </w:rPr>
  </w:style>
  <w:style w:type="paragraph" w:customStyle="1" w:styleId="2fe">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uiPriority w:val="99"/>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basedOn w:val="af5"/>
    <w:link w:val="afffffffff3"/>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pPr>
      <w:widowControl w:val="0"/>
      <w:tabs>
        <w:tab w:val="right" w:leader="dot" w:pos="9061"/>
      </w:tabs>
      <w:spacing w:line="360" w:lineRule="auto"/>
      <w:ind w:left="278" w:firstLine="567"/>
    </w:pPr>
    <w:rPr>
      <w:sz w:val="28"/>
      <w:szCs w:val="20"/>
    </w:rPr>
  </w:style>
  <w:style w:type="paragraph" w:styleId="2ff0">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1">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qFormat/>
    <w:pPr>
      <w:widowControl w:val="0"/>
      <w:numPr>
        <w:numId w:val="0"/>
      </w:numPr>
      <w:spacing w:line="360" w:lineRule="auto"/>
      <w:ind w:firstLine="567"/>
      <w:jc w:val="both"/>
    </w:pPr>
  </w:style>
  <w:style w:type="paragraph" w:customStyle="1" w:styleId="2ff2">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3">
    <w:name w:val="Текст примечания2"/>
    <w:basedOn w:val="af5"/>
    <w:rPr>
      <w:sz w:val="20"/>
      <w:szCs w:val="20"/>
    </w:rPr>
  </w:style>
  <w:style w:type="paragraph" w:styleId="afffffffff9">
    <w:name w:val="annotation subject"/>
    <w:basedOn w:val="2ff3"/>
    <w:next w:val="2ff3"/>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3">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4">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5">
    <w:name w:val="Стиль ТаблицаЗаголовок + 14 пт"/>
    <w:basedOn w:val="affffffffff3"/>
  </w:style>
  <w:style w:type="paragraph" w:customStyle="1" w:styleId="146">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4">
    <w:name w:val="Уровень2"/>
    <w:basedOn w:val="20"/>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5">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6">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7">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8">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9">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a">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b">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c">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7">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d">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e">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1"/>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1"/>
    <w:pPr>
      <w:spacing w:line="360" w:lineRule="auto"/>
      <w:ind w:firstLine="720"/>
      <w:jc w:val="both"/>
    </w:pPr>
    <w:rPr>
      <w:rFonts w:ascii="Garamond" w:hAnsi="Garamond" w:cs="Garamond"/>
      <w:sz w:val="28"/>
      <w:lang w:val="uk-UA"/>
    </w:rPr>
  </w:style>
  <w:style w:type="paragraph" w:customStyle="1" w:styleId="Sokiltitle">
    <w:name w:val="Sokil title"/>
    <w:basedOn w:val="2ff1"/>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0"/>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pPr>
      <w:widowControl w:val="0"/>
      <w:spacing w:line="360" w:lineRule="auto"/>
      <w:ind w:firstLine="720"/>
      <w:jc w:val="both"/>
    </w:pPr>
    <w:rPr>
      <w:sz w:val="28"/>
      <w:szCs w:val="20"/>
      <w:lang w:val="uk-UA"/>
    </w:rPr>
  </w:style>
  <w:style w:type="paragraph" w:customStyle="1" w:styleId="POD-ZAGOL">
    <w:name w:val="POD-ZAGOL"/>
    <w:basedOn w:val="20"/>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0"/>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0">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1"/>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uiPriority w:val="99"/>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1">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2">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3">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4">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5">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6">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7">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3"/>
    <w:next w:val="2ff3"/>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8">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9">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a">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0"/>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b">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0"/>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8">
    <w:name w:val="14Полуторный"/>
    <w:basedOn w:val="af5"/>
    <w:pPr>
      <w:spacing w:line="360" w:lineRule="auto"/>
      <w:ind w:firstLine="709"/>
      <w:jc w:val="both"/>
    </w:pPr>
    <w:rPr>
      <w:sz w:val="28"/>
      <w:szCs w:val="28"/>
      <w:lang w:val="uk-UA"/>
    </w:rPr>
  </w:style>
  <w:style w:type="paragraph" w:customStyle="1" w:styleId="2fffc">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d">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e">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9">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0">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1">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2">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0"/>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3">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3"/>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4">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8"/>
    <w:next w:val="2ff8"/>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0"/>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5">
    <w:name w:val="Заголовок_2"/>
    <w:basedOn w:val="20"/>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6">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7">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8">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a">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uiPriority w:val="99"/>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4">
    <w:name w:val="Body Text Indent 2"/>
    <w:basedOn w:val="af5"/>
    <w:link w:val="23"/>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9">
    <w:name w:val="Body Text 2"/>
    <w:basedOn w:val="af5"/>
    <w:link w:val="225"/>
    <w:unhideWhenUsed/>
    <w:rsid w:val="00524D1A"/>
    <w:pPr>
      <w:spacing w:after="120" w:line="480" w:lineRule="auto"/>
    </w:pPr>
  </w:style>
  <w:style w:type="character" w:customStyle="1" w:styleId="225">
    <w:name w:val="Основной текст 2 Знак2"/>
    <w:basedOn w:val="af6"/>
    <w:link w:val="2ffff9"/>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uiPriority w:val="99"/>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uiPriority w:val="99"/>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a">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b">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c">
    <w:name w:val="List 2"/>
    <w:basedOn w:val="af5"/>
    <w:uiPriority w:val="99"/>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d">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e">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0">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1">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2">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3">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uiPriority w:val="99"/>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4">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b">
    <w:name w:val="Основной текст (14)_"/>
    <w:link w:val="14c"/>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5">
    <w:name w:val="Подпись к картинке (2)_"/>
    <w:link w:val="2fffff6"/>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c">
    <w:name w:val="Основной текст (14)"/>
    <w:basedOn w:val="af5"/>
    <w:link w:val="14b"/>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6">
    <w:name w:val="Подпись к картинке (2)"/>
    <w:basedOn w:val="af5"/>
    <w:link w:val="2fffff5"/>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7">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8">
    <w:name w:val="Подпись к таблице (2)_"/>
    <w:link w:val="2fffff9"/>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9">
    <w:name w:val="Подпись к таблице (2)"/>
    <w:basedOn w:val="af5"/>
    <w:link w:val="2fffff8"/>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a">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b">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c">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uiPriority w:val="99"/>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d">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d">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e">
    <w:name w:val="Обычный14"/>
    <w:rsid w:val="00C77163"/>
    <w:rPr>
      <w:rFonts w:ascii="Times New Roman" w:eastAsia="Times New Roman" w:hAnsi="Times New Roman" w:cs="Times New Roman"/>
    </w:rPr>
  </w:style>
  <w:style w:type="paragraph" w:customStyle="1" w:styleId="12b">
    <w:name w:val="Заголовок 12"/>
    <w:basedOn w:val="14e"/>
    <w:next w:val="14e"/>
    <w:rsid w:val="00C77163"/>
    <w:pPr>
      <w:keepNext/>
      <w:spacing w:line="360" w:lineRule="auto"/>
      <w:ind w:firstLine="851"/>
      <w:jc w:val="center"/>
    </w:pPr>
    <w:rPr>
      <w:b/>
      <w:sz w:val="28"/>
    </w:rPr>
  </w:style>
  <w:style w:type="paragraph" w:customStyle="1" w:styleId="228">
    <w:name w:val="Заголовок 22"/>
    <w:basedOn w:val="14e"/>
    <w:next w:val="14e"/>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d">
    <w:name w:val="Body Text First Indent 2"/>
    <w:basedOn w:val="affffffffc"/>
    <w:link w:val="2c"/>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e">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0">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0">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1">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0"/>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2">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0"/>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3">
    <w:name w:val="Заголовок 2 (д)"/>
    <w:basedOn w:val="20"/>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4">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5">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6">
    <w:name w:val="Стиль Заголовок 2 + полужирный все прописные"/>
    <w:basedOn w:val="20"/>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7">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8">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9">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a">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b">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c">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1">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4"/>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d">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e">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2">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3">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0">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1">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4"/>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2">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3">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4">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0"/>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4">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5">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6">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7">
    <w:name w:val="Зап_2"/>
    <w:basedOn w:val="20"/>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8">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9">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5">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4"/>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semiHidden/>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ff3">
    <w:name w:val="Знак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semiHidden/>
    <w:rsid w:val="002D4E35"/>
    <w:rPr>
      <w:color w:val="000000"/>
      <w:sz w:val="28"/>
      <w:lang w:val="ru-RU" w:eastAsia="ru-RU" w:bidi="ar-SA"/>
    </w:rPr>
  </w:style>
  <w:style w:type="character" w:customStyle="1" w:styleId="5fff4">
    <w:name w:val="Знак5"/>
    <w:basedOn w:val="af6"/>
    <w:semiHidden/>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semiHidden/>
    <w:rsid w:val="002D4E35"/>
    <w:rPr>
      <w:sz w:val="16"/>
      <w:szCs w:val="16"/>
      <w:lang w:val="ru-RU" w:eastAsia="ru-RU" w:bidi="ar-SA"/>
    </w:rPr>
  </w:style>
  <w:style w:type="character" w:customStyle="1" w:styleId="2fffffffa">
    <w:name w:val="Знак2"/>
    <w:basedOn w:val="af6"/>
    <w:rsid w:val="002D4E35"/>
    <w:rPr>
      <w:rFonts w:eastAsia="MS Mincho"/>
      <w:sz w:val="32"/>
      <w:lang w:val="ru-RU" w:eastAsia="ru-RU" w:bidi="ar-SA"/>
    </w:rPr>
  </w:style>
  <w:style w:type="character" w:customStyle="1" w:styleId="1ffffffffffc">
    <w:name w:val="Знак1"/>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ff6">
    <w:name w:val="Знак Знак6"/>
    <w:basedOn w:val="af6"/>
    <w:rsid w:val="009A438D"/>
    <w:rPr>
      <w:b/>
      <w:bCs/>
      <w:sz w:val="24"/>
      <w:szCs w:val="24"/>
      <w:lang w:val="en-US" w:eastAsia="uk-UA" w:bidi="ar-SA"/>
    </w:rPr>
  </w:style>
  <w:style w:type="character" w:customStyle="1" w:styleId="5fff6">
    <w:name w:val="Знак Знак5"/>
    <w:basedOn w:val="af6"/>
    <w:rsid w:val="009A438D"/>
    <w:rPr>
      <w:b/>
      <w:bCs/>
      <w:sz w:val="28"/>
      <w:szCs w:val="28"/>
      <w:lang w:val="uk-UA" w:eastAsia="uk-UA" w:bidi="ar-SA"/>
    </w:rPr>
  </w:style>
  <w:style w:type="character" w:customStyle="1" w:styleId="4ffff7">
    <w:name w:val="Знак Знак4"/>
    <w:basedOn w:val="af6"/>
    <w:rsid w:val="009A438D"/>
    <w:rPr>
      <w:b/>
      <w:bCs/>
      <w:sz w:val="24"/>
      <w:szCs w:val="24"/>
      <w:lang w:val="uk-UA" w:eastAsia="uk-UA" w:bidi="ar-SA"/>
    </w:rPr>
  </w:style>
  <w:style w:type="character" w:customStyle="1" w:styleId="3fffff3">
    <w:name w:val="Знак Знак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d">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e">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4">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f">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8">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0">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1">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7">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6">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0"/>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6">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7">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f0">
    <w:name w:val="Обычный (веб)13"/>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8">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2">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3"/>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3">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4">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5">
    <w:name w:val="відступ 1"/>
    <w:basedOn w:val="affffffffffffffffffffffffffffffffffffff4"/>
    <w:rsid w:val="00A922DB"/>
    <w:pPr>
      <w:ind w:left="708"/>
    </w:pPr>
  </w:style>
  <w:style w:type="paragraph" w:customStyle="1" w:styleId="2fffffffc">
    <w:name w:val="відступ 2"/>
    <w:basedOn w:val="1fffffffffff5"/>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6">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7">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5">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7">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8">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4">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9">
    <w:name w:val="Текст концевой сноски Знак1"/>
    <w:basedOn w:val="af6"/>
    <w:semiHidden/>
    <w:rsid w:val="00CB5878"/>
    <w:rPr>
      <w:rFonts w:ascii="Times New Roman" w:eastAsia="Times New Roman" w:hAnsi="Times New Roman"/>
      <w:lang w:val="en-US"/>
    </w:rPr>
  </w:style>
  <w:style w:type="paragraph" w:customStyle="1" w:styleId="1fffffffffffa">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b">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0"/>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0"/>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8">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BodyText25">
    <w:name w:val="Body Text 2"/>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c">
    <w:name w:val=" 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 w:id="212633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 w:id="20800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872910539">
      <w:bodyDiv w:val="1"/>
      <w:marLeft w:val="0"/>
      <w:marRight w:val="0"/>
      <w:marTop w:val="0"/>
      <w:marBottom w:val="0"/>
      <w:divBdr>
        <w:top w:val="none" w:sz="0" w:space="0" w:color="auto"/>
        <w:left w:val="none" w:sz="0" w:space="0" w:color="auto"/>
        <w:bottom w:val="none" w:sz="0" w:space="0" w:color="auto"/>
        <w:right w:val="none" w:sz="0" w:space="0" w:color="auto"/>
      </w:divBdr>
    </w:div>
    <w:div w:id="1916281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www.mydisser.com/search.html"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jpp.krakow.pl/cgi/reprint/fulltext/57/suppl_5/19"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wmf"/><Relationship Id="rId4" Type="http://schemas.microsoft.com/office/2007/relationships/stylesWithEffects" Target="stylesWithEffects.xml"/><Relationship Id="rId9" Type="http://schemas.openxmlformats.org/officeDocument/2006/relationships/hyperlink" Target="http://www.mydisser.com/search.html" TargetMode="External"/><Relationship Id="rId14" Type="http://schemas.openxmlformats.org/officeDocument/2006/relationships/image" Target="media/image5.jpeg"/><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71CD3-BFF5-4C72-8A90-BE5ECD234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5400</TotalTime>
  <Pages>59</Pages>
  <Words>12566</Words>
  <Characters>71628</Characters>
  <Application>Microsoft Office Word</Application>
  <DocSecurity>0</DocSecurity>
  <Lines>596</Lines>
  <Paragraphs>168</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84026</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928</cp:revision>
  <cp:lastPrinted>2009-02-06T08:36:00Z</cp:lastPrinted>
  <dcterms:created xsi:type="dcterms:W3CDTF">2015-03-22T11:10:00Z</dcterms:created>
  <dcterms:modified xsi:type="dcterms:W3CDTF">2015-09-07T10:19:00Z</dcterms:modified>
</cp:coreProperties>
</file>